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8CDA8">
      <w:pPr>
        <w:rPr>
          <w:rFonts w:hint="default" w:ascii="微软雅黑" w:hAnsi="微软雅黑" w:eastAsia="微软雅黑"/>
          <w:color w:val="FF0000"/>
          <w:lang w:val="en-US" w:eastAsia="zh-CN"/>
        </w:rPr>
      </w:pPr>
      <w:bookmarkStart w:id="0" w:name="_GoBack"/>
      <w:bookmarkEnd w:id="0"/>
      <w:r>
        <w:rPr>
          <w:rFonts w:hint="eastAsia" w:ascii="微软雅黑" w:hAnsi="微软雅黑" w:eastAsia="微软雅黑"/>
          <w:color w:val="FF0000"/>
          <w:lang w:val="en-US" w:eastAsia="zh-CN"/>
        </w:rPr>
        <w:t xml:space="preserve">  </w:t>
      </w:r>
    </w:p>
    <w:p w14:paraId="5949C24A">
      <w:pPr>
        <w:widowControl/>
        <w:shd w:val="clear" w:color="auto" w:fill="FFFFFF"/>
        <w:jc w:val="center"/>
        <w:rPr>
          <w:rFonts w:cs="宋体" w:asciiTheme="minorEastAsia" w:hAnsiTheme="minorEastAsia"/>
          <w:color w:val="333333"/>
          <w:kern w:val="0"/>
          <w:sz w:val="20"/>
          <w:szCs w:val="20"/>
        </w:rPr>
      </w:pPr>
      <w:r>
        <w:rPr>
          <w:rFonts w:hint="eastAsia" w:cs="宋体" w:asciiTheme="minorEastAsia" w:hAnsiTheme="minorEastAsia"/>
          <w:b/>
          <w:bCs/>
          <w:color w:val="333333"/>
          <w:kern w:val="0"/>
          <w:sz w:val="20"/>
          <w:szCs w:val="20"/>
        </w:rPr>
        <w:t>承德银行信用卡（个人卡）领用合约</w:t>
      </w:r>
    </w:p>
    <w:p w14:paraId="239297A2">
      <w:pPr>
        <w:widowControl/>
        <w:shd w:val="clear" w:color="auto" w:fill="FFFFFF"/>
        <w:jc w:val="left"/>
        <w:rPr>
          <w:rFonts w:ascii="宋体" w:hAnsi="宋体" w:cs="宋体"/>
          <w:color w:val="333333"/>
          <w:kern w:val="0"/>
          <w:sz w:val="18"/>
          <w:szCs w:val="18"/>
        </w:rPr>
      </w:pPr>
      <w:r>
        <w:rPr>
          <w:rFonts w:hint="eastAsia" w:ascii="宋体" w:hAnsi="宋体" w:cs="宋体"/>
          <w:color w:val="333333"/>
          <w:kern w:val="0"/>
          <w:sz w:val="18"/>
          <w:szCs w:val="18"/>
        </w:rPr>
        <w:t> </w:t>
      </w:r>
    </w:p>
    <w:p w14:paraId="4DC1896F">
      <w:pPr>
        <w:widowControl/>
        <w:shd w:val="clear" w:color="auto" w:fill="FFFFFF"/>
        <w:jc w:val="lef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甲方：承德银行股份有限公司（以下简称“甲方”）</w:t>
      </w:r>
    </w:p>
    <w:p w14:paraId="7A2FB7EB">
      <w:pPr>
        <w:widowControl/>
        <w:shd w:val="clear" w:color="auto" w:fill="FFFFFF"/>
        <w:jc w:val="lef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乙方：承德银行股份有限公司信用卡（以下简称“信用卡”）申领人（以下简称“乙方”）</w:t>
      </w:r>
    </w:p>
    <w:p w14:paraId="6BBB388E">
      <w:pPr>
        <w:widowControl/>
        <w:shd w:val="clear" w:color="auto" w:fill="FFFFFF"/>
        <w:jc w:val="lef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 </w:t>
      </w:r>
    </w:p>
    <w:p w14:paraId="27E967DB">
      <w:pPr>
        <w:widowControl/>
        <w:shd w:val="clear" w:color="auto" w:fill="FFFFFF"/>
        <w:jc w:val="lef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乙方基于完全知悉、理解并接受《承德银行信用卡（个人卡）领用合约》（以下简称“合约”）条款及《承德银行个人信用卡章程》（以下简称“章程”）的前提，自愿向甲方申领使用承德银行信用卡。</w:t>
      </w:r>
      <w:r>
        <w:rPr>
          <w:rFonts w:hint="eastAsia" w:asciiTheme="minorEastAsia" w:hAnsiTheme="minorEastAsia" w:eastAsiaTheme="minorEastAsia" w:cstheme="minorEastAsia"/>
          <w:b/>
          <w:bCs/>
          <w:color w:val="333333"/>
          <w:kern w:val="0"/>
          <w:sz w:val="18"/>
          <w:szCs w:val="18"/>
        </w:rPr>
        <w:t>甲方已就各项文件中针对某一方增加责任、限制权利或免除权利的所有条款以及与乙方有重大利害关系的条款向乙方做出了相应提示和说明，乙方已对上述条款完全理解并自愿接受该内容。乙方在申请表上的签名或通过电子渠道勾选并提交申请视为本人已知悉并理解《章程》和《合约》的内容，并同意接受其约束，并就双方权利义务关系与甲方达成如下协议</w:t>
      </w:r>
      <w:r>
        <w:rPr>
          <w:rFonts w:hint="eastAsia" w:asciiTheme="minorEastAsia" w:hAnsiTheme="minorEastAsia" w:eastAsiaTheme="minorEastAsia" w:cstheme="minorEastAsia"/>
          <w:color w:val="333333"/>
          <w:kern w:val="0"/>
          <w:sz w:val="18"/>
          <w:szCs w:val="18"/>
        </w:rPr>
        <w:t>：</w:t>
      </w:r>
    </w:p>
    <w:p w14:paraId="313CAFF8">
      <w:pPr>
        <w:widowControl/>
        <w:shd w:val="clear" w:color="auto" w:fill="FFFFFF"/>
        <w:jc w:val="left"/>
        <w:rPr>
          <w:rFonts w:ascii="宋体" w:hAnsi="宋体" w:cs="宋体"/>
          <w:color w:val="333333"/>
          <w:kern w:val="0"/>
          <w:sz w:val="18"/>
          <w:szCs w:val="18"/>
        </w:rPr>
      </w:pPr>
      <w:r>
        <w:rPr>
          <w:rFonts w:hint="eastAsia" w:ascii="宋体" w:hAnsi="宋体" w:cs="宋体"/>
          <w:color w:val="333333"/>
          <w:kern w:val="0"/>
          <w:sz w:val="18"/>
          <w:szCs w:val="18"/>
        </w:rPr>
        <w:t> </w:t>
      </w:r>
    </w:p>
    <w:p w14:paraId="79E6234C">
      <w:pPr>
        <w:widowControl/>
        <w:shd w:val="clear" w:color="auto" w:fill="FFFFFF"/>
        <w:jc w:val="center"/>
        <w:rPr>
          <w:rFonts w:cs="宋体" w:asciiTheme="minorEastAsia" w:hAnsiTheme="minorEastAsia"/>
          <w:b/>
          <w:bCs/>
          <w:color w:val="333333"/>
          <w:kern w:val="0"/>
          <w:sz w:val="18"/>
          <w:szCs w:val="18"/>
        </w:rPr>
      </w:pPr>
      <w:r>
        <w:rPr>
          <w:rFonts w:hint="eastAsia" w:cs="宋体" w:asciiTheme="minorEastAsia" w:hAnsiTheme="minorEastAsia"/>
          <w:b/>
          <w:bCs/>
          <w:color w:val="333333"/>
          <w:kern w:val="0"/>
          <w:sz w:val="18"/>
          <w:szCs w:val="18"/>
        </w:rPr>
        <w:t>第一部分  申领及信息披露</w:t>
      </w:r>
    </w:p>
    <w:p w14:paraId="4BB0DB3D">
      <w:pPr>
        <w:pStyle w:val="36"/>
        <w:numPr>
          <w:ilvl w:val="0"/>
          <w:numId w:val="2"/>
        </w:numPr>
        <w:ind w:left="0" w:firstLine="0" w:firstLineChars="0"/>
        <w:jc w:val="left"/>
        <w:rPr>
          <w:sz w:val="18"/>
          <w:szCs w:val="20"/>
        </w:rPr>
      </w:pPr>
      <w:r>
        <w:rPr>
          <w:rFonts w:hint="eastAsia"/>
          <w:sz w:val="18"/>
          <w:szCs w:val="20"/>
        </w:rPr>
        <w:t>本合约乙方包括主卡申领人及附属卡申领人（如有），主卡申领人应当确保附属卡申领人知悉、理解并遵守本合约，并对附属卡申领人的所有用卡行为承担责任，包括但不限于清偿其应付账款。具有完全民事行为能力的附属卡持卡人与主卡持卡人对主卡及附属卡项下发生的债务互相承担连带清偿责任。</w:t>
      </w:r>
    </w:p>
    <w:p w14:paraId="5685DD24">
      <w:pPr>
        <w:pStyle w:val="36"/>
        <w:numPr>
          <w:ilvl w:val="0"/>
          <w:numId w:val="2"/>
        </w:numPr>
        <w:ind w:left="0" w:firstLine="0" w:firstLineChars="0"/>
        <w:jc w:val="left"/>
        <w:rPr>
          <w:rFonts w:hint="default" w:asciiTheme="minorAscii" w:hAnsiTheme="minorAscii"/>
          <w:sz w:val="18"/>
          <w:szCs w:val="20"/>
        </w:rPr>
      </w:pPr>
      <w:r>
        <w:rPr>
          <w:rFonts w:hint="eastAsia"/>
          <w:sz w:val="18"/>
          <w:szCs w:val="20"/>
        </w:rPr>
        <w:t>乙方保证向甲方提供的所有申请资料准确、真实、完整、有效、合法，包括但不限于个人身份信息、学历</w:t>
      </w:r>
      <w:r>
        <w:rPr>
          <w:sz w:val="18"/>
          <w:szCs w:val="20"/>
        </w:rPr>
        <w:t>/学籍信息、婚姻信息、地址信息、工作信息、收入信息、财产信息、通信信息、行为信息、照片信息、设备信息、公共服务信息及包括信贷信息在内的信用信息等资料，</w:t>
      </w:r>
      <w:r>
        <w:rPr>
          <w:rFonts w:hint="eastAsia"/>
          <w:sz w:val="18"/>
          <w:szCs w:val="20"/>
        </w:rPr>
        <w:t>无论甲方核准发卡与否及信用卡是否终止使用，有关申请资料均不退还。</w:t>
      </w:r>
      <w:r>
        <w:rPr>
          <w:rFonts w:hint="default" w:asciiTheme="minorAscii" w:hAnsiTheme="minorAscii"/>
          <w:b/>
          <w:bCs/>
          <w:sz w:val="18"/>
          <w:szCs w:val="20"/>
        </w:rPr>
        <w:t>乙方不可撤销地授权甲方在信用卡申领关系建立和存续期间，向中国人民银行金融信用信息基础数据库、百行征信有限公司、朴道征信有限公司等合法设立的征信机构及其他相关合法机构(包括但不限于承德银行的关联企业、服务机构、代理人、外包作业机构;依法设立的资信评估机构或有关法律、监管机构许可的类似机构;行政机关;事业单位;司法机关;电信运营商)查询、使用、提供及保留乙方的身份、财产、个人信用信息和其他有关信息（包括但不限于学历、职业、缴纳社会保险和住房公积金，拥有机动车、房地产或金融资产、乙方联系方式等信息）；用于审核领卡申请、核定或调整信用额度、开展贷后管理、进行异议处理和清收应还款项等目的。乙方了解并知悉，甲方因上述授权而可以收集、处理、传递及使用乙方的个人资料，并确认甲方已应乙方的要求对本条款作出了相应的说明。</w:t>
      </w:r>
      <w:r>
        <w:rPr>
          <w:rFonts w:hint="default" w:asciiTheme="minorAscii" w:hAnsiTheme="minorAscii"/>
          <w:sz w:val="18"/>
          <w:szCs w:val="20"/>
        </w:rPr>
        <w:t>乙方在此同意，如甲方在风险管理业务过程中发现其个人资料与已逾期或存在逾期风险的客户存在关联时，甲方可以与其通过电话、手机短信、电子邮件、微信等方式核实相关情况。甲方超出上述权限查询乙方个人信用信息的一切后果及法律责任由甲方承担。</w:t>
      </w:r>
    </w:p>
    <w:p w14:paraId="554128B0">
      <w:pPr>
        <w:ind w:firstLine="360" w:firstLineChars="200"/>
        <w:rPr>
          <w:rFonts w:hint="eastAsia" w:asciiTheme="minorEastAsia" w:hAnsiTheme="minorEastAsia" w:eastAsiaTheme="minorEastAsia" w:cstheme="minorEastAsia"/>
          <w:sz w:val="18"/>
          <w:szCs w:val="20"/>
          <w:lang w:val="en-US" w:eastAsia="zh-CN"/>
        </w:rPr>
      </w:pPr>
      <w:r>
        <w:rPr>
          <w:rFonts w:hint="eastAsia" w:asciiTheme="minorEastAsia" w:hAnsiTheme="minorEastAsia" w:eastAsiaTheme="minorEastAsia" w:cstheme="minorEastAsia"/>
          <w:sz w:val="18"/>
          <w:szCs w:val="20"/>
        </w:rPr>
        <w:t>甲方依法对采集、处理、传递及使用的乙方的个人信息承担保密责任。</w:t>
      </w:r>
      <w:r>
        <w:rPr>
          <w:rFonts w:hint="eastAsia" w:asciiTheme="minorEastAsia" w:hAnsiTheme="minorEastAsia" w:eastAsiaTheme="minorEastAsia" w:cstheme="minorEastAsia"/>
          <w:sz w:val="18"/>
          <w:szCs w:val="20"/>
          <w:lang w:val="en-US" w:eastAsia="zh-CN"/>
        </w:rPr>
        <w:t xml:space="preserve"> </w:t>
      </w:r>
    </w:p>
    <w:p w14:paraId="07A3F400">
      <w:pPr>
        <w:ind w:firstLine="360" w:firstLineChars="200"/>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如乙方由其他人推荐申请信用卡，则乙方同意甲方将乙方信用卡的申请进度和被推荐进度开放给乙方的推荐人查询。</w:t>
      </w:r>
      <w:r>
        <w:rPr>
          <w:rFonts w:hint="eastAsia" w:asciiTheme="minorEastAsia" w:hAnsiTheme="minorEastAsia" w:eastAsiaTheme="minorEastAsia" w:cstheme="minorEastAsia"/>
          <w:b/>
          <w:bCs/>
          <w:sz w:val="18"/>
          <w:szCs w:val="20"/>
        </w:rPr>
        <w:t>乙方及其附属卡申请人同意甲方在向乙方推荐或营销信用卡相关产品或服务时，使用乙方主动提供给甲方的个人资料、联系人信息、附属卡人信息等，甲方承诺在使用过程中遵守信息保密义务。</w:t>
      </w:r>
    </w:p>
    <w:p w14:paraId="16600940">
      <w:pPr>
        <w:pStyle w:val="36"/>
        <w:numPr>
          <w:ilvl w:val="0"/>
          <w:numId w:val="2"/>
        </w:numPr>
        <w:ind w:left="0" w:firstLine="0" w:firstLineChars="0"/>
        <w:jc w:val="left"/>
        <w:rPr>
          <w:b/>
          <w:bCs/>
          <w:sz w:val="18"/>
          <w:szCs w:val="20"/>
        </w:rPr>
      </w:pPr>
      <w:r>
        <w:rPr>
          <w:rFonts w:hint="eastAsia"/>
          <w:b/>
          <w:bCs/>
          <w:sz w:val="18"/>
          <w:szCs w:val="20"/>
        </w:rPr>
        <w:t>乙方申请表所列信息（包括但不限于姓名、国籍、联系地址、工作单位、身份证件或者身份证明文件的号码、有效期等身份信息）发生变更的，应在信息发生变更后及时通知甲方</w:t>
      </w:r>
      <w:r>
        <w:rPr>
          <w:rFonts w:hint="eastAsia"/>
          <w:b/>
          <w:bCs/>
          <w:sz w:val="18"/>
          <w:szCs w:val="20"/>
          <w:lang w:val="en-US" w:eastAsia="zh-CN"/>
        </w:rPr>
        <w:t>并</w:t>
      </w:r>
      <w:r>
        <w:rPr>
          <w:rFonts w:hint="eastAsia"/>
          <w:b/>
          <w:bCs/>
          <w:sz w:val="18"/>
          <w:szCs w:val="20"/>
        </w:rPr>
        <w:t>更新相关信息；因乙方不及时通知</w:t>
      </w:r>
      <w:r>
        <w:rPr>
          <w:rFonts w:hint="eastAsia"/>
          <w:b/>
          <w:bCs/>
          <w:sz w:val="18"/>
          <w:szCs w:val="20"/>
          <w:lang w:val="en-US" w:eastAsia="zh-CN"/>
        </w:rPr>
        <w:t>或未更新</w:t>
      </w:r>
      <w:r>
        <w:rPr>
          <w:rFonts w:hint="eastAsia"/>
          <w:b/>
          <w:bCs/>
          <w:sz w:val="18"/>
          <w:szCs w:val="20"/>
        </w:rPr>
        <w:t>而引起的责任及产生的损失，由乙方自行承担，甲方有权依法对其账户采取相应管控措施、中止为乙方办理新业务。乙方应当事先征得联系人的同意并在联系人知晓需要承担的义务（若乙方出现违约或账户安全等风险时，甲方有权联系乙方所预留的联系人、担保人或其他有代偿意愿的人，请求向乙方转达违约事宜、获取乙方的必要信息或其他事项）后，将联系人信息填写在申请表中。</w:t>
      </w:r>
    </w:p>
    <w:p w14:paraId="75473178">
      <w:pPr>
        <w:pStyle w:val="36"/>
        <w:numPr>
          <w:ilvl w:val="0"/>
          <w:numId w:val="2"/>
        </w:numPr>
        <w:ind w:left="0" w:firstLine="0" w:firstLineChars="0"/>
        <w:jc w:val="lef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乙方同意在下列情形下以及本合约约定的其他情形授权甲方或必要的第三方使用乙方的个人资料等信息，授权甲方将其个人资料、交易信息及信用状况披露，用于甲方开展相关业务的需求：</w:t>
      </w:r>
    </w:p>
    <w:p w14:paraId="7BDBF47E">
      <w:pPr>
        <w:widowControl/>
        <w:shd w:val="clear" w:color="auto" w:fill="FFFFFF"/>
        <w:jc w:val="lef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基于为乙方提供信用卡服务及增值权益或优惠的目的，甲方自行使用或披露给甲方关联公司、甲方的服务机构、代理人、外包作业机构、联名卡合作方、相关资信机构及与客户信用卡业务中涉及的相关业务合作机构等。</w:t>
      </w:r>
    </w:p>
    <w:p w14:paraId="4A31F49E">
      <w:pPr>
        <w:widowControl/>
        <w:shd w:val="clear" w:color="auto" w:fill="FFFFFF"/>
        <w:jc w:val="lef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2.基于风险管控目的，甲方自行使用或披露给监管机构、卡组织、同业组织、相关资信机构等。</w:t>
      </w:r>
    </w:p>
    <w:p w14:paraId="097EF3B0">
      <w:pPr>
        <w:widowControl/>
        <w:shd w:val="clear" w:color="auto" w:fill="FFFFFF"/>
        <w:jc w:val="lef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甲方承诺将严格要求所有第三方对乙方的个人资料承担保密义务。</w:t>
      </w:r>
    </w:p>
    <w:p w14:paraId="0168605D">
      <w:pPr>
        <w:pStyle w:val="36"/>
        <w:numPr>
          <w:ilvl w:val="0"/>
          <w:numId w:val="2"/>
        </w:numPr>
        <w:ind w:lef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有权根据乙方的资信状况决定是否批准其申请，并核定信用额度，主卡持卡人和附属卡持卡人共用该额度。甲方有权评估并根据乙方的资信状况、授信额度的使用情况及风险信息等决定调整乙方的信用额度(额度可调整直至为零)，必要时可以要求乙方落实第二还款来源或提供担保。甲方会将调整账户信用额度通过</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HYPERLINK "http://www.qdccb.com/dzyx/sjyx/ywjs/iosxz/index.shtml"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手机银行</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网上银行、电子邮件、短信等方式(甲方有权视情况选择一种或多种方式)提前三个工作日通知乙方。信用额度调整一经甲方作出即生效，如乙方不接受信用额度调高的，可要求甲方恢复原授信额度，但乙方仍应对之前发生的所有信用卡交易负责。</w:t>
      </w:r>
    </w:p>
    <w:p w14:paraId="1E5941E5">
      <w:pPr>
        <w:pStyle w:val="36"/>
        <w:numPr>
          <w:ilvl w:val="0"/>
          <w:numId w:val="2"/>
        </w:numPr>
        <w:ind w:lef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信用卡实行多卡归户管理，乙方名下所有信用卡（包括主卡、附属卡，不含公务卡）均归属于同一个信用卡账户，该账户下所有信用卡（含主卡、附属卡）共享授信额度。主卡持卡人承诺对主卡和附属卡项下发生的全部债务承担清偿责任。附属卡持卡人对主卡及附属卡项下发生的债务承担连带清偿责任。乙方可随时申请注销附属卡，附属卡持卡人对附属卡注销前主卡项下发生的债务承担连带清偿责任。</w:t>
      </w:r>
    </w:p>
    <w:p w14:paraId="1CDEA5D5">
      <w:pPr>
        <w:pStyle w:val="36"/>
        <w:numPr>
          <w:ilvl w:val="0"/>
          <w:numId w:val="2"/>
        </w:numPr>
        <w:ind w:lef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为让乙方持续享受更好的服务及用卡权益，乙方知晓并同意甲方使用必要的乙方个人信息，通过电话、短信、电子邮件等方式向乙方发送信用卡相关产品、服务及权益活动。</w:t>
      </w:r>
    </w:p>
    <w:p w14:paraId="70BB6E24">
      <w:pPr>
        <w:pStyle w:val="36"/>
        <w:numPr>
          <w:ilvl w:val="0"/>
          <w:numId w:val="2"/>
        </w:numPr>
        <w:ind w:lef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甲方将评估并根据乙方的资信状况及用卡记录调整乙方名下信用卡账户的透支利率及最低还款额比例。</w:t>
      </w:r>
      <w:r>
        <w:rPr>
          <w:rFonts w:hint="eastAsia" w:asciiTheme="minorEastAsia" w:hAnsiTheme="minorEastAsia" w:eastAsiaTheme="minorEastAsia" w:cstheme="minorEastAsia"/>
          <w:b/>
          <w:bCs/>
          <w:sz w:val="18"/>
          <w:szCs w:val="18"/>
        </w:rPr>
        <w:t>除双方另有约定的情况外，乙方名下信用卡账户的透支利率为日利率万分之五，对应的年化利率为</w:t>
      </w:r>
      <w:r>
        <w:rPr>
          <w:rFonts w:hint="eastAsia" w:asciiTheme="minorEastAsia" w:hAnsiTheme="minorEastAsia" w:eastAsiaTheme="minorEastAsia" w:cstheme="minorEastAsia"/>
          <w:b/>
          <w:bCs/>
          <w:sz w:val="18"/>
          <w:szCs w:val="18"/>
          <w:highlight w:val="none"/>
        </w:rPr>
        <w:t>18%（</w:t>
      </w:r>
      <w:r>
        <w:rPr>
          <w:rFonts w:hint="eastAsia" w:asciiTheme="minorEastAsia" w:hAnsiTheme="minorEastAsia" w:eastAsiaTheme="minorEastAsia" w:cstheme="minorEastAsia"/>
          <w:b/>
          <w:bCs/>
          <w:sz w:val="18"/>
          <w:szCs w:val="18"/>
        </w:rPr>
        <w:t>计算公式：年利率=日利率*36</w:t>
      </w:r>
      <w:r>
        <w:rPr>
          <w:rFonts w:hint="eastAsia" w:asciiTheme="minorEastAsia" w:hAnsiTheme="minorEastAsia" w:eastAsiaTheme="minorEastAsia" w:cstheme="minorEastAsia"/>
          <w:b/>
          <w:bCs/>
          <w:sz w:val="18"/>
          <w:szCs w:val="18"/>
          <w:lang w:val="en-US" w:eastAsia="zh-CN"/>
        </w:rPr>
        <w:t>0</w:t>
      </w:r>
      <w:r>
        <w:rPr>
          <w:rFonts w:hint="eastAsia" w:asciiTheme="minorEastAsia" w:hAnsiTheme="minorEastAsia" w:eastAsiaTheme="minorEastAsia" w:cstheme="minorEastAsia"/>
          <w:b/>
          <w:bCs/>
          <w:sz w:val="18"/>
          <w:szCs w:val="18"/>
        </w:rPr>
        <w:t>，受大小月天数不同及乙方还款情况等不同因素的影响，实际年化利率与上述年化利率可能存在差异），若甲方对乙方信用卡账户的透支利率进行调整，需通过网站公告、官方微信、手机银行、网上银行、短信、电子邮件等方式（甲方有权根据实际业务情况选择一种或多种方式）通知乙方，乙方有权在新利率标准生效日前向甲方提出办理销户申请。</w:t>
      </w:r>
    </w:p>
    <w:p w14:paraId="085D94C1">
      <w:pPr>
        <w:widowControl/>
        <w:shd w:val="clear" w:color="auto" w:fill="FFFFFF"/>
        <w:jc w:val="left"/>
        <w:rPr>
          <w:rFonts w:ascii="宋体" w:hAnsi="宋体" w:cs="宋体"/>
          <w:color w:val="333333"/>
          <w:kern w:val="0"/>
          <w:sz w:val="18"/>
          <w:szCs w:val="18"/>
        </w:rPr>
      </w:pPr>
    </w:p>
    <w:p w14:paraId="216927DD">
      <w:pPr>
        <w:widowControl/>
        <w:shd w:val="clear" w:color="auto" w:fill="FFFFFF"/>
        <w:jc w:val="left"/>
        <w:rPr>
          <w:rFonts w:ascii="宋体" w:hAnsi="宋体" w:cs="宋体"/>
          <w:color w:val="333333"/>
          <w:kern w:val="0"/>
          <w:sz w:val="18"/>
          <w:szCs w:val="18"/>
        </w:rPr>
      </w:pPr>
      <w:r>
        <w:rPr>
          <w:rFonts w:hint="eastAsia" w:ascii="宋体" w:hAnsi="宋体" w:cs="宋体"/>
          <w:color w:val="333333"/>
          <w:kern w:val="0"/>
          <w:sz w:val="18"/>
          <w:szCs w:val="18"/>
        </w:rPr>
        <w:t> </w:t>
      </w:r>
    </w:p>
    <w:p w14:paraId="0CC7C14C">
      <w:pPr>
        <w:widowControl/>
        <w:shd w:val="clear" w:color="auto" w:fill="FFFFFF"/>
        <w:jc w:val="center"/>
        <w:rPr>
          <w:rFonts w:cs="宋体" w:asciiTheme="minorEastAsia" w:hAnsiTheme="minorEastAsia"/>
          <w:b/>
          <w:bCs/>
          <w:color w:val="333333"/>
          <w:kern w:val="0"/>
          <w:sz w:val="18"/>
          <w:szCs w:val="18"/>
        </w:rPr>
      </w:pPr>
      <w:r>
        <w:rPr>
          <w:rFonts w:hint="eastAsia" w:cs="宋体" w:asciiTheme="minorEastAsia" w:hAnsiTheme="minorEastAsia"/>
          <w:b/>
          <w:bCs/>
          <w:color w:val="333333"/>
          <w:kern w:val="0"/>
          <w:sz w:val="18"/>
          <w:szCs w:val="18"/>
        </w:rPr>
        <w:t>第二部分  使用</w:t>
      </w:r>
    </w:p>
    <w:p w14:paraId="6729F6B8">
      <w:pPr>
        <w:pStyle w:val="36"/>
        <w:numPr>
          <w:ilvl w:val="0"/>
          <w:numId w:val="2"/>
        </w:numPr>
        <w:ind w:left="0" w:firstLine="0" w:firstLineChars="0"/>
        <w:jc w:val="left"/>
        <w:rPr>
          <w:sz w:val="18"/>
          <w:szCs w:val="20"/>
        </w:rPr>
      </w:pPr>
      <w:r>
        <w:rPr>
          <w:rFonts w:hint="eastAsia"/>
          <w:sz w:val="18"/>
          <w:szCs w:val="20"/>
        </w:rPr>
        <w:t>乙方收到信用卡（电子卡除外）后，应立即在信用卡背面的签名栏上签署与申请表相同的签名，并在使用信用卡交易时使用相同的签名（双方另有约定的除外），否则，由此产生的损失由乙方承担。</w:t>
      </w:r>
    </w:p>
    <w:p w14:paraId="44BFC08B">
      <w:pPr>
        <w:pStyle w:val="36"/>
        <w:numPr>
          <w:ilvl w:val="0"/>
          <w:numId w:val="2"/>
        </w:numPr>
        <w:ind w:left="0" w:firstLine="0" w:firstLineChars="0"/>
        <w:jc w:val="left"/>
        <w:rPr>
          <w:sz w:val="18"/>
          <w:szCs w:val="20"/>
        </w:rPr>
      </w:pPr>
      <w:r>
        <w:rPr>
          <w:rFonts w:hint="eastAsia"/>
          <w:sz w:val="18"/>
          <w:szCs w:val="20"/>
        </w:rPr>
        <w:t>信用卡仅限乙方本人使用，乙方不得出租、出借、转卖、购买信用卡或其账户，否则甲方有权于</w:t>
      </w:r>
      <w:r>
        <w:rPr>
          <w:sz w:val="18"/>
          <w:szCs w:val="20"/>
        </w:rPr>
        <w:t>5年内暂停乙方银行账户非柜面业务、支付账户所有业务并不为乙方新开立账户；乙方应承担因任何违法行为或违反《</w:t>
      </w:r>
      <w:r>
        <w:rPr>
          <w:rFonts w:hint="eastAsia"/>
          <w:sz w:val="18"/>
          <w:szCs w:val="20"/>
        </w:rPr>
        <w:t>承德银行个人信用卡章程》及本合约行为产生的所有损失，包括但不限于甲方或第三方因此所遭受的损失。</w:t>
      </w:r>
    </w:p>
    <w:p w14:paraId="2AEF42D6">
      <w:pPr>
        <w:widowControl/>
        <w:shd w:val="clear" w:color="auto" w:fill="FFFFFF"/>
        <w:ind w:firstLine="360" w:firstLineChars="200"/>
        <w:jc w:val="lef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乙方有义务保管好信用卡及卡号、有效期、卡片背面签名栏数字信息等卡片信息，因信用卡或相关卡片信息保管不善被他人使用信用卡，由乙方承担由此造成的一切损失。</w:t>
      </w:r>
    </w:p>
    <w:p w14:paraId="45E0F5AD">
      <w:pPr>
        <w:pStyle w:val="36"/>
        <w:numPr>
          <w:ilvl w:val="0"/>
          <w:numId w:val="2"/>
        </w:numPr>
        <w:ind w:left="0" w:firstLine="0" w:firstLineChars="0"/>
        <w:jc w:val="left"/>
        <w:rPr>
          <w:rFonts w:hint="eastAsia" w:asciiTheme="minorEastAsia" w:hAnsiTheme="minorEastAsia" w:eastAsiaTheme="minorEastAsia" w:cstheme="minorEastAsia"/>
          <w:sz w:val="18"/>
          <w:szCs w:val="20"/>
        </w:rPr>
      </w:pPr>
      <w:r>
        <w:rPr>
          <w:rFonts w:hint="eastAsia" w:asciiTheme="minorEastAsia" w:hAnsiTheme="minorEastAsia" w:cstheme="minorEastAsia"/>
          <w:sz w:val="18"/>
          <w:szCs w:val="20"/>
          <w:lang w:val="en-US" w:eastAsia="zh-CN"/>
        </w:rPr>
        <w:t xml:space="preserve"> </w:t>
      </w:r>
      <w:r>
        <w:rPr>
          <w:rFonts w:hint="eastAsia" w:asciiTheme="minorEastAsia" w:hAnsiTheme="minorEastAsia" w:eastAsiaTheme="minorEastAsia" w:cstheme="minorEastAsia"/>
          <w:sz w:val="18"/>
          <w:szCs w:val="20"/>
        </w:rPr>
        <w:t>乙方应保证在安全环境下通过各种媒介（包括但不限于互联网）使用信用卡，否则乙方须对非安全环境下其信用卡主卡及附属卡在互联网或者其他媒介上使用所导致的风险和损失自行负责。</w:t>
      </w:r>
    </w:p>
    <w:p w14:paraId="64EB63B2">
      <w:pPr>
        <w:pStyle w:val="36"/>
        <w:numPr>
          <w:ilvl w:val="0"/>
          <w:numId w:val="2"/>
        </w:numPr>
        <w:ind w:left="0" w:firstLine="0" w:firstLineChars="0"/>
        <w:jc w:val="left"/>
        <w:rPr>
          <w:rFonts w:hint="eastAsia" w:asciiTheme="minorEastAsia" w:hAnsiTheme="minorEastAsia" w:eastAsiaTheme="minorEastAsia" w:cstheme="minorEastAsia"/>
          <w:sz w:val="18"/>
          <w:szCs w:val="20"/>
        </w:rPr>
      </w:pPr>
      <w:r>
        <w:rPr>
          <w:rFonts w:hint="eastAsia" w:asciiTheme="minorEastAsia" w:hAnsiTheme="minorEastAsia" w:cstheme="minorEastAsia"/>
          <w:sz w:val="18"/>
          <w:szCs w:val="20"/>
          <w:lang w:val="en-US" w:eastAsia="zh-CN"/>
        </w:rPr>
        <w:t xml:space="preserve"> </w:t>
      </w:r>
      <w:r>
        <w:rPr>
          <w:rFonts w:hint="eastAsia" w:asciiTheme="minorEastAsia" w:hAnsiTheme="minorEastAsia" w:eastAsiaTheme="minorEastAsia" w:cstheme="minorEastAsia"/>
          <w:sz w:val="18"/>
          <w:szCs w:val="20"/>
        </w:rPr>
        <w:t>乙方应当通过甲方指定的途径设置查询密码(该密码适用于全国客服热线电话语音确认身份、信用卡网上银行登录及网络交易密码验证等)、交易密码(该密码适用于预借现金、刷卡和移动设备闪付交易)，交易密码须逐卡设置。乙方使用设置交易密码的信用卡在适用区域内刷卡交易时，需要输入其交易密码并在交易凭证上签名。部分特殊设计卡片无需在卡片背面签名，但必须设置交易密码后方可确保正常使用。</w:t>
      </w:r>
      <w:r>
        <w:rPr>
          <w:rFonts w:hint="eastAsia" w:asciiTheme="minorEastAsia" w:hAnsiTheme="minorEastAsia" w:eastAsiaTheme="minorEastAsia" w:cstheme="minorEastAsia"/>
          <w:b/>
          <w:sz w:val="18"/>
          <w:szCs w:val="20"/>
        </w:rPr>
        <w:t>乙方必须妥善保管查询密码、交易密码和短信验证码，除司法机关另有认定外，凡使用密码进行的交易均视同乙方及其附属卡持卡人本人所为，依据密码等电子信息办理的各类结算交易所产生的电子信息记录均为该项交易的有效凭证。凡未使用密码进行的交易，则记载有乙方签名的交易凭证均为该项交易的有效凭证。对因交易习惯或交易特殊性质，毋须或无法进行签名，如非接触式卡片交易、网购、网上交易等，乙方不得以交易单据上无签名或无交易单据为由拒绝付款。乙方认可甲方可凭借密码、电话、传真确认、邮件、收货单签名、发货凭证或其他可验证乙方身份的信息确认信用卡交易为乙方本人所为。乙方因密码、卡片验证码、动态密码等信息保管不善等原因造成的损失，由乙方自行承担。乙方承诺妥善保管此密码并同意任何通过密码校验成功产生的身份资料变更、信用卡交易均视为其本人交易，并由乙方承担相应的变更、交易后果。</w:t>
      </w:r>
    </w:p>
    <w:p w14:paraId="3D3E14D8">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甲方对卡片设定有效期，卡片到期自动失效。甲方收回卡片或中止、停止乙方使用信用卡或乙方销户的，卡片提前失效。乙方使用信用卡所发生的债务不因卡片的到期失效、提前失效、更换或销户等消灭。</w:t>
      </w:r>
    </w:p>
    <w:p w14:paraId="3ED8A33F">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甲方有权根据乙方的资信状况决定是否于卡片到期前为其换发新卡，甲方将根据对乙方的资信评估于换发新卡时重新授予信用额度、确定新卡片的卡种和有效期。乙方激活新卡即视为乙方同意该更换并接受更换后的信用卡。乙方不同意续卡的，需于卡片到期前一个月以书面、致电甲方信用卡服务热线或双方认可的其他方式向甲方提出申请（若乙方有存续的分期交易且不愿一次性结清账务的，甲方有权拒绝乙方的申请），否则，甲方将为乙方更换新卡（在有效期内未激活的卡片除外）。</w:t>
      </w:r>
    </w:p>
    <w:p w14:paraId="5146CCFD">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乙方如要停止用卡，须及时以书面或双方认可的其他形式通知甲方办理注销手续，乙方未偿还的账款（包括但不限于当前余额、分期付款授信金额）自乙方通知甲方停止用卡之日视为全部到期并须一并清偿。乙方继续承担对该信用账户未达账款以及所产生的利息和费用的还款责任。持卡人未全额清偿账户透支本息及相关费用的，甲方不予核准销户，甲方对已收取的年费不予退还。甲方在受理账户销户申请</w:t>
      </w:r>
      <w:r>
        <w:rPr>
          <w:sz w:val="18"/>
          <w:szCs w:val="20"/>
        </w:rPr>
        <w:t>45</w:t>
      </w:r>
      <w:r>
        <w:rPr>
          <w:rFonts w:hint="eastAsia"/>
          <w:sz w:val="18"/>
          <w:szCs w:val="20"/>
        </w:rPr>
        <w:t>个自然日后，为乙方办理正式销户手续。乙方知悉并同意，乙方销户后，甲方仍可继续受理乙方的账务查询和还款。若乙方申请信用卡后在两年内未主动激活卡片的，或已激活卡片但在两年内乙方未发生主动交易的，或卡片到期后未进行正常续卡的，甲方有权为其办理销户。若乙方身份证件有效期过期且未到甲方营业网点更新，甲方亦有权为其办理卡片注销。销户后若乙方希望重新使用信用卡，须重新办理信用卡申领手续。</w:t>
      </w:r>
    </w:p>
    <w:p w14:paraId="3D553E4F">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若乙方发生卡片冻结、被催收或甲方认为任何可能导致乙方无法或不履行还款义务的状况，甲方有权宣布乙方的分期付款授信金额全部到期，乙方应当一次偿还全部剩余款项以及支付因未及时偿还全部剩余款项引起的利息、违约金等一切费用。</w:t>
      </w:r>
    </w:p>
    <w:p w14:paraId="1EC00252">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乙方知悉甲方作为金融机构所承担的风险防范和控制职能，甲方制定信用卡交易授权和风险监测管理制度，配备必要的设备、系统和人员，确保24小时交易授权和实时监控，若乙方信用卡因出现监管机关规定的或甲方认定的风险特征时（包括但不限于：乙方有任何舞弊、欺诈或非真实交易的情形;乙方存在以积分套利为主要目的的行为;乙方在积分累积或兑换中存在任何虚假交易、舞弊、欺诈或其他不诚信行为的;乙方存在出卖银行卡等行为时;乙方涉嫌洗钱、恐怖融资、扩散融资或涉及违反联合国等国际组织或者国家发布的可适用的制裁项目时;乙方在甲方开立的账户交易异常，且甲方无法评估乙方涉税、制裁等洗钱风险或经评估超过甲方风险管理能力时;乙方存在将信用卡用于生产经营、投资等非消费领域或涉嫌违反国家外汇管理相关规定等情形时;乙方存在非法或未经甲方授权的渠道申请信用卡等行为时;信用卡因被取消、管制、终止、过期并不被续期等原因变为不正常状态;乙方未依约还款;乙方资信状况经甲方评估存在异常;乙方身故;乙方违反本合约、章程或甲方的相关规定等），甲方有权限制或取消乙方的信用卡交易，并中止或终止信用卡的全部或部分功能，包括但不限于调整授信额度、锁定账户、紧急止付、对商户交易限额、套现治理等风险管理措施。乙方有义务积极协助甲方识别相关风险（如提供正规交易发票、消费签账单等），并承担因此所产生的损失；乙方信用卡账户发生透支，甲方有权采取包括但不限于司法手段等必要措施进行催收；涉嫌恶意透支的，甲方将提请司法部门追究乙方的法律责任，并由乙方承担相关费用。</w:t>
      </w:r>
    </w:p>
    <w:p w14:paraId="0C1F60C0">
      <w:pPr>
        <w:pStyle w:val="36"/>
        <w:numPr>
          <w:ilvl w:val="0"/>
          <w:numId w:val="2"/>
        </w:numPr>
        <w:ind w:left="0" w:firstLine="0" w:firstLineChars="0"/>
        <w:jc w:val="left"/>
        <w:rPr>
          <w:sz w:val="18"/>
          <w:szCs w:val="20"/>
          <w:highlight w:val="none"/>
        </w:rPr>
      </w:pPr>
      <w:r>
        <w:rPr>
          <w:rFonts w:hint="eastAsia"/>
          <w:sz w:val="18"/>
          <w:szCs w:val="20"/>
          <w:highlight w:val="none"/>
          <w:lang w:val="en-US" w:eastAsia="zh-CN"/>
        </w:rPr>
        <w:t xml:space="preserve"> </w:t>
      </w:r>
      <w:r>
        <w:rPr>
          <w:rFonts w:hint="eastAsia"/>
          <w:sz w:val="18"/>
          <w:szCs w:val="20"/>
          <w:highlight w:val="none"/>
        </w:rPr>
        <w:t>信用卡具备授信额度和透支功能，可在中国银联及甲方指定的受理点使用。一般情形下的交易均可以通过审查完成授权成功交易。同时，基于金融机构所承担的风险防范和控制职责，甲方需要对信用卡消费进行风险审查和授权，甲方不承诺或保证乙方的所有交易可成功，可能存在因乙方出现卡片磁条信息泄漏或其他风险特征，导致没有通过甲方授权、交易失败的情况。</w:t>
      </w:r>
    </w:p>
    <w:p w14:paraId="0F7FE6F3">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乙方信用卡透支额度及通过甲方预借现金（包含现金提取、现金转账、现金分期等业务）获得的资金应当用于乙方的合理个人或家庭消费领域，</w:t>
      </w:r>
      <w:r>
        <w:rPr>
          <w:rFonts w:hint="eastAsia"/>
          <w:b/>
          <w:sz w:val="18"/>
          <w:szCs w:val="20"/>
        </w:rPr>
        <w:t>不得用于生产经营、购买资产管理产品、投资（如股市、楼市等）等投资性领域以及其他禁止性领域。乙方应将信用卡用于合法、合规的交易和场所，有义务配合甲方核查信用卡资金用途。甲方有权根据法律、法规以及银行监管机构的规定和要求，监控、核实、限制乙方的信用卡交易以及对信用卡采取管制、止付等措施。</w:t>
      </w:r>
    </w:p>
    <w:p w14:paraId="2BB87B30">
      <w:pPr>
        <w:pStyle w:val="36"/>
        <w:numPr>
          <w:ilvl w:val="0"/>
          <w:numId w:val="2"/>
        </w:numPr>
        <w:ind w:left="0" w:firstLine="0" w:firstLineChars="0"/>
        <w:jc w:val="left"/>
        <w:rPr>
          <w:rFonts w:hint="eastAsia"/>
          <w:b/>
          <w:sz w:val="18"/>
          <w:szCs w:val="20"/>
        </w:rPr>
      </w:pPr>
      <w:r>
        <w:rPr>
          <w:rFonts w:hint="eastAsia"/>
          <w:b/>
          <w:sz w:val="18"/>
          <w:szCs w:val="20"/>
          <w:lang w:val="en-US" w:eastAsia="zh-CN"/>
        </w:rPr>
        <w:t xml:space="preserve"> </w:t>
      </w:r>
      <w:r>
        <w:rPr>
          <w:rFonts w:hint="eastAsia"/>
          <w:b/>
          <w:sz w:val="18"/>
          <w:szCs w:val="20"/>
        </w:rPr>
        <w:t>甲方对长期睡眠信用卡进行</w:t>
      </w:r>
      <w:r>
        <w:rPr>
          <w:rFonts w:hint="eastAsia"/>
          <w:b/>
          <w:sz w:val="18"/>
          <w:szCs w:val="20"/>
          <w:lang w:val="en-US" w:eastAsia="zh-CN"/>
        </w:rPr>
        <w:t>监</w:t>
      </w:r>
      <w:r>
        <w:rPr>
          <w:rFonts w:hint="eastAsia"/>
          <w:b/>
          <w:sz w:val="18"/>
          <w:szCs w:val="20"/>
        </w:rPr>
        <w:t>测，对</w:t>
      </w:r>
      <w:r>
        <w:rPr>
          <w:rFonts w:hint="eastAsia"/>
          <w:b/>
          <w:sz w:val="18"/>
          <w:szCs w:val="20"/>
          <w:lang w:val="en-US" w:eastAsia="zh-CN"/>
        </w:rPr>
        <w:t>于</w:t>
      </w:r>
      <w:r>
        <w:rPr>
          <w:rFonts w:hint="eastAsia"/>
          <w:b/>
          <w:sz w:val="18"/>
          <w:szCs w:val="20"/>
        </w:rPr>
        <w:t>乙方名下连续18个月以上无主动交易且当前透支余额、溢缴款为零的长期睡眠的信用卡 ，甲方有权处以卡片注销、卡片管制、限制交易和降低授信额度等措施予以清理。</w:t>
      </w:r>
    </w:p>
    <w:p w14:paraId="5BE060B0">
      <w:pPr>
        <w:pStyle w:val="36"/>
        <w:numPr>
          <w:ilvl w:val="0"/>
          <w:numId w:val="2"/>
        </w:numPr>
        <w:ind w:left="0" w:firstLine="0" w:firstLineChars="0"/>
        <w:jc w:val="left"/>
        <w:rPr>
          <w:sz w:val="18"/>
          <w:szCs w:val="20"/>
        </w:rPr>
      </w:pPr>
      <w:r>
        <w:rPr>
          <w:rFonts w:hint="eastAsia"/>
          <w:b/>
          <w:bCs/>
          <w:sz w:val="18"/>
          <w:szCs w:val="20"/>
        </w:rPr>
        <w:t>为了保障信用卡的交易安全，乙方同意并授权甲方在信用卡使用、风险管理的过程中，可以向依法设立的电信运营商等合法机构</w:t>
      </w:r>
      <w:r>
        <w:rPr>
          <w:b/>
          <w:bCs/>
          <w:sz w:val="18"/>
          <w:szCs w:val="20"/>
        </w:rPr>
        <w:t>(包括但不限于中国电信、中国移动、中国联通等外部合作机构)查询、使用或提供包括但不限于乙方地理位置、行为、设备等相关信息，并保留相关资料。甲方依法对乙方的相关信息承担保密责任，并保证要求合作机构对持卡人的相关信息承担保密责任</w:t>
      </w:r>
      <w:r>
        <w:rPr>
          <w:rFonts w:hint="eastAsia"/>
          <w:sz w:val="18"/>
          <w:szCs w:val="20"/>
        </w:rPr>
        <w:t>。</w:t>
      </w:r>
    </w:p>
    <w:p w14:paraId="687FA3C9">
      <w:pPr>
        <w:pStyle w:val="36"/>
        <w:numPr>
          <w:ilvl w:val="0"/>
          <w:numId w:val="2"/>
        </w:numPr>
        <w:ind w:left="0" w:firstLine="0" w:firstLineChars="0"/>
        <w:jc w:val="left"/>
        <w:rPr>
          <w:sz w:val="18"/>
          <w:szCs w:val="20"/>
        </w:rPr>
      </w:pPr>
      <w:r>
        <w:rPr>
          <w:rFonts w:hint="eastAsia"/>
          <w:sz w:val="18"/>
          <w:szCs w:val="20"/>
        </w:rPr>
        <w:t>甲方在此提示乙方，如乙方选择无卡环境交易（如MOTO类交易），乙方应在符合法律法规、监管规定、国家标准和行业管理的安全技术和商户环境下在互联网、MOTO类商户（如互联网、邮购、电话购物等无需刷卡完成交易的非面对面刷卡交易商户）上使用信用卡，并充分了解交易对手、交易背景、交易环境及交易风险等情况，确保交易真实合法，否则乙方可能承担因此引致的一切风险和损失。</w:t>
      </w:r>
    </w:p>
    <w:p w14:paraId="4D51D8E0">
      <w:pPr>
        <w:pStyle w:val="36"/>
        <w:ind w:firstLine="0" w:firstLineChars="0"/>
        <w:jc w:val="left"/>
        <w:rPr>
          <w:sz w:val="18"/>
          <w:szCs w:val="20"/>
          <w:highlight w:val="none"/>
        </w:rPr>
      </w:pPr>
      <w:r>
        <w:rPr>
          <w:rFonts w:hint="eastAsia"/>
          <w:sz w:val="18"/>
          <w:szCs w:val="20"/>
          <w:highlight w:val="none"/>
        </w:rPr>
        <w:t>乙方及其附属卡持卡人可将信用卡（部分特殊卡种除外）绑定支付平台账户。信用卡卡号、手机号、短信验证码等均为重要的身份验证要素（甲方将根据实际业务情况，采用部分或全部验证要素识别乙方及其附属卡持卡人身份及核实绑定操作的真实性）。信用卡绑定后乙方及其附属卡持卡人可按照支付平台的交易验证方式进行关联信用卡支付。乙方及其附属卡持卡人知晓、理解并愿意承担信用卡绑定支付平台可能带来的账户和支付风险（包括但不限于支付平台账户被盗用导致信用卡账户的风险和损失）。乙方及其附属卡持卡人承诺按照本合约及支付平台相关协议的要求妥善保管交易密码及其他身份验证信息。因支付平台安全缺陷引发的交易争议由乙方或附属卡持卡人与支付平台自行协商解决，乙方不得以争议为由拒绝偿还信用卡项下欠款。</w:t>
      </w:r>
    </w:p>
    <w:p w14:paraId="2F5856C9">
      <w:pPr>
        <w:widowControl/>
        <w:shd w:val="clear" w:color="auto" w:fill="FFFFFF"/>
        <w:jc w:val="left"/>
        <w:rPr>
          <w:rFonts w:ascii="宋体" w:hAnsi="宋体" w:cs="宋体"/>
          <w:color w:val="333333"/>
          <w:kern w:val="0"/>
          <w:sz w:val="18"/>
          <w:szCs w:val="18"/>
          <w:highlight w:val="none"/>
        </w:rPr>
      </w:pPr>
    </w:p>
    <w:p w14:paraId="1F1D2E14">
      <w:pPr>
        <w:widowControl/>
        <w:shd w:val="clear" w:color="auto" w:fill="FFFFFF"/>
        <w:jc w:val="center"/>
        <w:rPr>
          <w:rFonts w:cs="宋体" w:asciiTheme="minorEastAsia" w:hAnsiTheme="minorEastAsia"/>
          <w:b/>
          <w:bCs/>
          <w:color w:val="333333"/>
          <w:kern w:val="0"/>
          <w:sz w:val="18"/>
          <w:szCs w:val="18"/>
        </w:rPr>
      </w:pPr>
      <w:r>
        <w:rPr>
          <w:rFonts w:hint="eastAsia" w:cs="宋体" w:asciiTheme="minorEastAsia" w:hAnsiTheme="minorEastAsia"/>
          <w:b/>
          <w:bCs/>
          <w:color w:val="333333"/>
          <w:kern w:val="0"/>
          <w:sz w:val="18"/>
          <w:szCs w:val="18"/>
        </w:rPr>
        <w:t>第三部分  账务及还款</w:t>
      </w:r>
    </w:p>
    <w:p w14:paraId="22225189">
      <w:pPr>
        <w:pStyle w:val="36"/>
        <w:numPr>
          <w:ilvl w:val="0"/>
          <w:numId w:val="2"/>
        </w:numPr>
        <w:ind w:left="0" w:firstLine="0" w:firstLineChars="0"/>
        <w:jc w:val="left"/>
        <w:rPr>
          <w:sz w:val="18"/>
          <w:szCs w:val="20"/>
        </w:rPr>
      </w:pPr>
      <w:r>
        <w:rPr>
          <w:rFonts w:hint="eastAsia"/>
          <w:sz w:val="18"/>
          <w:szCs w:val="20"/>
        </w:rPr>
        <w:t>甲方将通过官方微信、手机银行、网上银行和电子邮件等任一渠道为乙方提供电子对账服务，但乙方及其附属卡持卡人与甲方另有约定的除外。乙方保证向甲方提供的电子邮箱地址是正确、完整、真实的并能正常接收甲方发送的电子邮件账单。</w:t>
      </w:r>
    </w:p>
    <w:p w14:paraId="1DE75C2E">
      <w:pPr>
        <w:pStyle w:val="36"/>
        <w:numPr>
          <w:ilvl w:val="0"/>
          <w:numId w:val="2"/>
        </w:numPr>
        <w:ind w:left="0" w:firstLine="0" w:firstLineChars="0"/>
        <w:jc w:val="left"/>
        <w:rPr>
          <w:sz w:val="18"/>
          <w:szCs w:val="20"/>
        </w:rPr>
      </w:pPr>
      <w:r>
        <w:rPr>
          <w:rFonts w:hint="eastAsia"/>
          <w:sz w:val="18"/>
          <w:szCs w:val="20"/>
        </w:rPr>
        <w:t>乙方未收到对账单应主动查询，若在到期还款日前乙方未向甲方提出异议，则视同其已认可全部交易。</w:t>
      </w:r>
    </w:p>
    <w:p w14:paraId="1BC6A862">
      <w:pPr>
        <w:pStyle w:val="36"/>
        <w:numPr>
          <w:ilvl w:val="0"/>
          <w:numId w:val="2"/>
        </w:numPr>
        <w:ind w:left="0" w:firstLine="0" w:firstLineChars="0"/>
        <w:jc w:val="left"/>
        <w:rPr>
          <w:sz w:val="18"/>
          <w:szCs w:val="20"/>
          <w:highlight w:val="none"/>
        </w:rPr>
      </w:pPr>
      <w:r>
        <w:rPr>
          <w:rFonts w:hint="eastAsia"/>
          <w:sz w:val="18"/>
          <w:szCs w:val="20"/>
        </w:rPr>
        <w:t>乙方信用卡内的资金不计付利息，双方另有约定的除外。当存入信用卡的记账资金金额超过该信用卡所属信用卡账户下所有欠款总额时，多余的款项将形成溢缴款，该款项不会自动抵扣其他信用卡账户项下的欠款。若乙方欲领回卡内溢缴款，可通过</w:t>
      </w:r>
      <w:r>
        <w:rPr>
          <w:rFonts w:hint="eastAsia"/>
          <w:sz w:val="18"/>
          <w:szCs w:val="20"/>
          <w:lang w:val="en-US" w:eastAsia="zh-CN"/>
        </w:rPr>
        <w:t>我行营业网点柜面办理</w:t>
      </w:r>
      <w:r>
        <w:rPr>
          <w:rFonts w:hint="eastAsia"/>
          <w:sz w:val="18"/>
          <w:szCs w:val="20"/>
        </w:rPr>
        <w:t>溢缴款</w:t>
      </w:r>
      <w:r>
        <w:rPr>
          <w:rFonts w:hint="eastAsia"/>
          <w:sz w:val="18"/>
          <w:szCs w:val="20"/>
          <w:lang w:val="en-US" w:eastAsia="zh-CN"/>
        </w:rPr>
        <w:t>转出至</w:t>
      </w:r>
      <w:r>
        <w:rPr>
          <w:rFonts w:hint="eastAsia"/>
          <w:sz w:val="18"/>
          <w:szCs w:val="20"/>
        </w:rPr>
        <w:t>乙方</w:t>
      </w:r>
      <w:r>
        <w:rPr>
          <w:rFonts w:hint="eastAsia"/>
          <w:sz w:val="18"/>
          <w:szCs w:val="20"/>
          <w:lang w:val="en-US" w:eastAsia="zh-CN"/>
        </w:rPr>
        <w:t>本行</w:t>
      </w:r>
      <w:r>
        <w:rPr>
          <w:rFonts w:hint="eastAsia"/>
          <w:sz w:val="18"/>
          <w:szCs w:val="20"/>
        </w:rPr>
        <w:t>本人</w:t>
      </w:r>
      <w:r>
        <w:rPr>
          <w:rFonts w:hint="eastAsia"/>
          <w:sz w:val="18"/>
          <w:szCs w:val="20"/>
          <w:lang w:val="en-US" w:eastAsia="zh-CN"/>
        </w:rPr>
        <w:t>借记卡</w:t>
      </w:r>
      <w:r>
        <w:rPr>
          <w:rFonts w:hint="eastAsia"/>
          <w:sz w:val="18"/>
          <w:szCs w:val="20"/>
        </w:rPr>
        <w:t>账户</w:t>
      </w:r>
      <w:r>
        <w:rPr>
          <w:rFonts w:hint="eastAsia"/>
          <w:sz w:val="18"/>
          <w:szCs w:val="20"/>
          <w:lang w:eastAsia="zh-CN"/>
        </w:rPr>
        <w:t>，</w:t>
      </w:r>
      <w:r>
        <w:rPr>
          <w:rFonts w:hint="eastAsia"/>
          <w:sz w:val="18"/>
          <w:szCs w:val="20"/>
          <w:lang w:val="en-US" w:eastAsia="zh-CN"/>
        </w:rPr>
        <w:t>也可在我行营业网点柜面办理现金支取溢缴款。</w:t>
      </w:r>
      <w:r>
        <w:rPr>
          <w:rFonts w:hint="eastAsia"/>
          <w:sz w:val="18"/>
          <w:szCs w:val="20"/>
        </w:rPr>
        <w:t>如果通过自助设备提取溢缴款，将视为取现</w:t>
      </w:r>
      <w:r>
        <w:rPr>
          <w:rFonts w:hint="eastAsia"/>
          <w:sz w:val="18"/>
          <w:szCs w:val="20"/>
          <w:highlight w:val="none"/>
        </w:rPr>
        <w:t>交易</w:t>
      </w:r>
      <w:r>
        <w:rPr>
          <w:rFonts w:hint="eastAsia"/>
          <w:sz w:val="18"/>
          <w:szCs w:val="20"/>
          <w:highlight w:val="none"/>
          <w:lang w:eastAsia="zh-CN"/>
        </w:rPr>
        <w:t>。</w:t>
      </w:r>
      <w:r>
        <w:rPr>
          <w:rFonts w:hint="eastAsia"/>
          <w:sz w:val="18"/>
          <w:szCs w:val="20"/>
          <w:highlight w:val="none"/>
          <w:lang w:val="en-US" w:eastAsia="zh-CN"/>
        </w:rPr>
        <w:t>跨行自动设备提取溢缴款，</w:t>
      </w:r>
      <w:r>
        <w:rPr>
          <w:rFonts w:hint="eastAsia"/>
          <w:sz w:val="18"/>
          <w:szCs w:val="20"/>
          <w:highlight w:val="none"/>
        </w:rPr>
        <w:t>乙方应承担溢缴款领回手续费，溢缴款领回手续费的币种与领回溢缴本金币种一致，将从溢缴款中直接扣除。</w:t>
      </w:r>
    </w:p>
    <w:p w14:paraId="6E89549A">
      <w:pPr>
        <w:pStyle w:val="36"/>
        <w:numPr>
          <w:ilvl w:val="0"/>
          <w:numId w:val="2"/>
        </w:numPr>
        <w:ind w:left="0" w:firstLine="0" w:firstLineChars="0"/>
        <w:jc w:val="left"/>
        <w:rPr>
          <w:sz w:val="18"/>
          <w:szCs w:val="20"/>
          <w:highlight w:val="none"/>
        </w:rPr>
      </w:pPr>
      <w:r>
        <w:rPr>
          <w:rFonts w:hint="eastAsia"/>
          <w:sz w:val="18"/>
          <w:szCs w:val="20"/>
          <w:highlight w:val="none"/>
        </w:rPr>
        <w:t>乙方因使用信用卡而发生的各种收付款项和须承担的各种费用、利息均由甲方记入主卡申领人信用卡账户，乙方应依据本合约第一条及相关约定，就该账户的债务向甲方承担连带清偿责任。</w:t>
      </w:r>
    </w:p>
    <w:p w14:paraId="3CD0C02D">
      <w:pPr>
        <w:pStyle w:val="36"/>
        <w:numPr>
          <w:ilvl w:val="0"/>
          <w:numId w:val="2"/>
        </w:numPr>
        <w:ind w:left="0" w:firstLine="0" w:firstLineChars="0"/>
        <w:jc w:val="left"/>
        <w:rPr>
          <w:sz w:val="18"/>
          <w:szCs w:val="20"/>
        </w:rPr>
      </w:pPr>
      <w:r>
        <w:rPr>
          <w:rFonts w:hint="eastAsia"/>
          <w:sz w:val="18"/>
          <w:szCs w:val="20"/>
        </w:rPr>
        <w:t>乙方信用卡通过银联渠道在境内及境外交易的，均以人民币结算，境外交易所产生的其他货币与人民币的转换费用，以交易日中国银联的挂牌汇率及甲方的货币转换手续费计算。乙方同意承担因此可能产生的所有汇兑风险、损失、佣金及费用等。</w:t>
      </w:r>
    </w:p>
    <w:p w14:paraId="2928AD9B">
      <w:pPr>
        <w:pStyle w:val="36"/>
        <w:numPr>
          <w:ilvl w:val="0"/>
          <w:numId w:val="2"/>
        </w:numPr>
        <w:ind w:left="0" w:firstLine="0" w:firstLineChars="0"/>
        <w:jc w:val="left"/>
        <w:rPr>
          <w:sz w:val="18"/>
          <w:szCs w:val="20"/>
        </w:rPr>
      </w:pPr>
      <w:r>
        <w:rPr>
          <w:rFonts w:hint="eastAsia"/>
          <w:sz w:val="18"/>
          <w:szCs w:val="20"/>
        </w:rPr>
        <w:t>乙方的当期非现金交易自银行记账日至到期还款日（含）为免息还款期。在免息还款期内全额偿还当期已出账单的全部款项，无须支付非现金交易的利息，否则全部欠款不享受免息还款期，自甲方记账日起按甲方核给的对应期间的日利率计收利息至清偿日止，甲方按月计收复利，如有变动按中国人民银行的有关规定执行。</w:t>
      </w:r>
    </w:p>
    <w:p w14:paraId="30880A27">
      <w:pPr>
        <w:pStyle w:val="36"/>
        <w:numPr>
          <w:ilvl w:val="0"/>
          <w:numId w:val="2"/>
        </w:numPr>
        <w:ind w:left="0" w:firstLine="0" w:firstLineChars="0"/>
        <w:jc w:val="left"/>
        <w:rPr>
          <w:b/>
          <w:bCs/>
          <w:sz w:val="18"/>
          <w:szCs w:val="20"/>
        </w:rPr>
      </w:pPr>
      <w:r>
        <w:rPr>
          <w:rFonts w:hint="eastAsia"/>
          <w:b/>
          <w:bCs/>
          <w:sz w:val="18"/>
          <w:szCs w:val="20"/>
        </w:rPr>
        <w:t>乙方可以选择以最低还款额方式还款，即于当期到期还款日（含）前将不低于最低还款额的款项偿还甲方。选择最低还款额方式不享受免息还款期待遇。乙方如未于每月到期还款日（含）前还清当期最低还款额，除应支付透支利息外，还应支付最低还款额未还部分的</w:t>
      </w:r>
      <w:r>
        <w:rPr>
          <w:b/>
          <w:bCs/>
          <w:sz w:val="18"/>
          <w:szCs w:val="20"/>
        </w:rPr>
        <w:t>5%</w:t>
      </w:r>
      <w:r>
        <w:rPr>
          <w:rFonts w:hint="eastAsia"/>
          <w:b/>
          <w:bCs/>
          <w:sz w:val="18"/>
          <w:szCs w:val="20"/>
        </w:rPr>
        <w:t>做为违约金，最低为</w:t>
      </w:r>
      <w:r>
        <w:rPr>
          <w:b/>
          <w:bCs/>
          <w:sz w:val="18"/>
          <w:szCs w:val="20"/>
        </w:rPr>
        <w:t>10</w:t>
      </w:r>
      <w:r>
        <w:rPr>
          <w:rFonts w:hint="eastAsia"/>
          <w:b/>
          <w:bCs/>
          <w:sz w:val="18"/>
          <w:szCs w:val="20"/>
        </w:rPr>
        <w:t>元。</w:t>
      </w:r>
    </w:p>
    <w:p w14:paraId="744680EC">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每期最低还款额为以下金额之总和：信用卡账户所有消费欠款（不包含预借现金、分期交易欠款、年费、手续费、利息、违约金以及甲方规定的其它交易、费用等）乘以甲方核给的对应账户最低还款额比例（最低还款额比例为</w:t>
      </w:r>
      <w:r>
        <w:rPr>
          <w:sz w:val="18"/>
          <w:szCs w:val="20"/>
        </w:rPr>
        <w:t>10%</w:t>
      </w:r>
      <w:r>
        <w:rPr>
          <w:rFonts w:hint="eastAsia"/>
          <w:sz w:val="18"/>
          <w:szCs w:val="20"/>
        </w:rPr>
        <w:t>，双方另有约定的除外）；账户内当期预借现金欠款的百分之百；账户内当期分期欠款的百分之百；往期所有最低还款额未还部分；超过账户信用额度使用的全部款项；所有利息；所有的费用和违约金。如当期已出账单的全部款项低于上述金额总和，则当期最低还款额以当期已出账单的全部款项为限，且当期最低还款额最小金额为</w:t>
      </w:r>
      <w:r>
        <w:rPr>
          <w:sz w:val="18"/>
          <w:szCs w:val="20"/>
        </w:rPr>
        <w:t>0</w:t>
      </w:r>
      <w:r>
        <w:rPr>
          <w:rFonts w:hint="eastAsia"/>
          <w:sz w:val="18"/>
          <w:szCs w:val="20"/>
        </w:rPr>
        <w:t>。</w:t>
      </w:r>
    </w:p>
    <w:p w14:paraId="629DED20">
      <w:pPr>
        <w:pStyle w:val="36"/>
        <w:numPr>
          <w:ilvl w:val="0"/>
          <w:numId w:val="2"/>
        </w:numPr>
        <w:ind w:left="0" w:firstLine="0" w:firstLineChars="0"/>
        <w:jc w:val="left"/>
        <w:rPr>
          <w:sz w:val="18"/>
          <w:szCs w:val="20"/>
        </w:rPr>
      </w:pPr>
      <w:r>
        <w:rPr>
          <w:rFonts w:hint="eastAsia"/>
          <w:sz w:val="18"/>
          <w:szCs w:val="20"/>
        </w:rPr>
        <w:t>乙方及其附属卡持卡人一经设置信用卡交易密码，则可使用预借现金功能，即可进行现金提取、现金转账。信用卡办理预借现金交易不享受免息还款期待遇，由预借现金交易发生日起按甲方核给的对应期间的日利率计收利息至清偿日止，甲方按月计收复利，并按承德银行信用卡收费标准收取预借现金手续费。</w:t>
      </w:r>
    </w:p>
    <w:p w14:paraId="3E6E90EB">
      <w:pPr>
        <w:pStyle w:val="36"/>
        <w:numPr>
          <w:ilvl w:val="0"/>
          <w:numId w:val="2"/>
        </w:numPr>
        <w:ind w:left="0" w:firstLine="0" w:firstLineChars="0"/>
        <w:jc w:val="left"/>
        <w:rPr>
          <w:b/>
          <w:bCs/>
          <w:sz w:val="18"/>
          <w:szCs w:val="20"/>
        </w:rPr>
      </w:pPr>
      <w:r>
        <w:rPr>
          <w:rFonts w:hint="eastAsia"/>
          <w:b/>
          <w:bCs/>
          <w:sz w:val="18"/>
          <w:szCs w:val="20"/>
        </w:rPr>
        <w:t>甲方有权根据国家规定、甲乙双方约定以及乙方历史用卡记录向乙方收取年费。年费的收取方法应按照甲方的规定缴纳年费。如甲方无特殊规定，年费于乙方领取卡片激活</w:t>
      </w:r>
      <w:r>
        <w:rPr>
          <w:rFonts w:hint="eastAsia"/>
          <w:b/>
          <w:bCs/>
          <w:sz w:val="18"/>
          <w:szCs w:val="20"/>
          <w:lang w:val="en-US" w:eastAsia="zh-CN"/>
        </w:rPr>
        <w:t>后收取，</w:t>
      </w:r>
      <w:r>
        <w:rPr>
          <w:rFonts w:hint="eastAsia"/>
          <w:b/>
          <w:bCs/>
          <w:sz w:val="18"/>
          <w:szCs w:val="20"/>
        </w:rPr>
        <w:t>从乙方信用卡账户中扣收，此后每年年费于乙方核卡日的日期从乙方信用卡账户中扣收。</w:t>
      </w:r>
    </w:p>
    <w:p w14:paraId="15594549">
      <w:pPr>
        <w:pStyle w:val="36"/>
        <w:numPr>
          <w:ilvl w:val="0"/>
          <w:numId w:val="2"/>
        </w:numPr>
        <w:ind w:left="0" w:firstLine="0" w:firstLineChars="0"/>
        <w:jc w:val="left"/>
        <w:rPr>
          <w:b/>
          <w:bCs/>
          <w:sz w:val="18"/>
          <w:szCs w:val="20"/>
        </w:rPr>
      </w:pPr>
      <w:r>
        <w:rPr>
          <w:rFonts w:hint="eastAsia"/>
          <w:b/>
          <w:bCs/>
          <w:sz w:val="18"/>
          <w:szCs w:val="20"/>
        </w:rPr>
        <w:t>如乙方接受第三方机构提供的业务或服务，甲方有权代第三方机构向乙方收取相关费用。</w:t>
      </w:r>
    </w:p>
    <w:p w14:paraId="6135BF9C">
      <w:pPr>
        <w:pStyle w:val="36"/>
        <w:numPr>
          <w:ilvl w:val="0"/>
          <w:numId w:val="2"/>
        </w:numPr>
        <w:ind w:left="0" w:firstLine="0" w:firstLineChars="0"/>
        <w:jc w:val="left"/>
        <w:rPr>
          <w:b/>
          <w:bCs/>
          <w:sz w:val="18"/>
          <w:szCs w:val="20"/>
        </w:rPr>
      </w:pPr>
      <w:r>
        <w:rPr>
          <w:rFonts w:hint="eastAsia"/>
          <w:sz w:val="18"/>
          <w:szCs w:val="20"/>
        </w:rPr>
        <w:t>乙方选择自动转账方式还款的，视为授权甲方直接从乙方提供的账户中扣款，转入信用卡账户用于还款，甲方于到期还款日做自动转账还款处理，乙方应确保所指定的自动转账还款账户在到期还款日前备有足够的存款，如最终扣款不成功或扣款不足最低还款额的，乙方应及时以现金或其他方式还款。否则，因扣款不成功而产生的利息和违约金等由乙方承担。甲方根据与乙方签订的自动扣款协议，做自动转账还款处理。若乙方未按约还款或有欺诈、套现或其他违法违规的风险时，乙方授权甲方不定时的对乙方绑定自动还款的账户进行扣款。乙方未绑定自动扣款的，应当按时通过甲方公示还款渠道进行还款。</w:t>
      </w:r>
      <w:r>
        <w:rPr>
          <w:rFonts w:hint="eastAsia"/>
          <w:b/>
          <w:bCs/>
          <w:sz w:val="18"/>
          <w:szCs w:val="20"/>
        </w:rPr>
        <w:t>若乙方未按约还款或有欺诈、套现或其他违法违规的风险时，乙方授权甲方对乙方在本行的借记卡账户进行查询，若乙方本行借记卡账户有余额，则授权甲方从乙方的本行借记卡账户扣款并转入信用卡账户用于还款，扣款成功后，甲方会以短信方式通知乙方。</w:t>
      </w:r>
    </w:p>
    <w:p w14:paraId="1B597954">
      <w:pPr>
        <w:pStyle w:val="36"/>
        <w:numPr>
          <w:ilvl w:val="0"/>
          <w:numId w:val="2"/>
        </w:numPr>
        <w:ind w:left="0" w:firstLine="0" w:firstLineChars="0"/>
        <w:jc w:val="left"/>
        <w:rPr>
          <w:sz w:val="18"/>
          <w:szCs w:val="20"/>
        </w:rPr>
      </w:pPr>
      <w:r>
        <w:rPr>
          <w:rFonts w:hint="eastAsia"/>
          <w:sz w:val="18"/>
          <w:szCs w:val="20"/>
        </w:rPr>
        <w:t>乙方若未依约还款或有违规、欺诈行为造成甲方经济损失，由乙方承担赔偿责任，甲方有权将乙方在本行的其他账户存款以及其他抵、质押物用来清偿，并保留依照法律程序进行追索的权利。</w:t>
      </w:r>
    </w:p>
    <w:p w14:paraId="71E4D1E1">
      <w:pPr>
        <w:pStyle w:val="36"/>
        <w:numPr>
          <w:ilvl w:val="0"/>
          <w:numId w:val="2"/>
        </w:numPr>
        <w:ind w:left="0" w:firstLine="0" w:firstLineChars="0"/>
        <w:jc w:val="left"/>
        <w:rPr>
          <w:sz w:val="18"/>
          <w:szCs w:val="20"/>
        </w:rPr>
      </w:pPr>
      <w:r>
        <w:rPr>
          <w:rFonts w:hint="eastAsia"/>
          <w:sz w:val="18"/>
          <w:szCs w:val="20"/>
        </w:rPr>
        <w:t>乙方超过到期还款日未归还所欠款项的，视为违约行为。在此情况下，甲方有权自行或委托律师事务所、债务催收公司等其它第三方机构通过电话、信函、手机短信、电子邮件、面访、公告或司法渠道等方式向乙方本人直接催缴欠款；有权根据本合约约定向乙方提供的预留联系人、担保人或其他代偿意愿人，转告催缴欠款事宜。甲方因催收或委外催收而产生的包括但不限于诉讼费、律师费、第三方代理服务费等款项均由乙方承担。如乙方未履行还款义务，经生效法律文书认定后仍未完全履行的，甲方可以通过甲方官网或其他媒体等公开乙方的不履行义务信息。</w:t>
      </w:r>
    </w:p>
    <w:p w14:paraId="05239E47">
      <w:pPr>
        <w:widowControl/>
        <w:shd w:val="clear" w:color="auto" w:fill="FFFFFF"/>
        <w:jc w:val="left"/>
        <w:rPr>
          <w:rFonts w:ascii="宋体" w:hAnsi="宋体" w:cs="宋体"/>
          <w:b/>
          <w:bCs/>
          <w:color w:val="333333"/>
          <w:kern w:val="0"/>
          <w:sz w:val="18"/>
          <w:szCs w:val="18"/>
        </w:rPr>
      </w:pPr>
    </w:p>
    <w:p w14:paraId="0494F8C2">
      <w:pPr>
        <w:widowControl/>
        <w:shd w:val="clear" w:color="auto" w:fill="FFFFFF"/>
        <w:jc w:val="center"/>
        <w:rPr>
          <w:rFonts w:cs="宋体" w:asciiTheme="minorEastAsia" w:hAnsiTheme="minorEastAsia"/>
          <w:b/>
          <w:bCs/>
          <w:color w:val="333333"/>
          <w:kern w:val="0"/>
          <w:sz w:val="18"/>
          <w:szCs w:val="18"/>
          <w:highlight w:val="none"/>
        </w:rPr>
      </w:pPr>
      <w:r>
        <w:rPr>
          <w:rFonts w:hint="eastAsia" w:cs="宋体" w:asciiTheme="minorEastAsia" w:hAnsiTheme="minorEastAsia"/>
          <w:b/>
          <w:bCs/>
          <w:color w:val="333333"/>
          <w:kern w:val="0"/>
          <w:sz w:val="18"/>
          <w:szCs w:val="18"/>
          <w:highlight w:val="none"/>
        </w:rPr>
        <w:t>第四部分 特殊情况及争端</w:t>
      </w:r>
    </w:p>
    <w:p w14:paraId="461E6EE5">
      <w:pPr>
        <w:pStyle w:val="36"/>
        <w:numPr>
          <w:ilvl w:val="0"/>
          <w:numId w:val="2"/>
        </w:numPr>
        <w:ind w:left="0" w:firstLine="0" w:firstLineChars="0"/>
        <w:jc w:val="left"/>
        <w:rPr>
          <w:sz w:val="18"/>
          <w:szCs w:val="20"/>
        </w:rPr>
      </w:pPr>
      <w:r>
        <w:rPr>
          <w:rFonts w:hint="eastAsia"/>
          <w:sz w:val="18"/>
          <w:szCs w:val="20"/>
        </w:rPr>
        <w:t>乙方与特约商户（含分期商户）发生交易纠纷由双方自行解决，甲方不负任何责任，乙方不得以其与任何第三方的纠纷为由拒绝偿还因使用信用卡而发生的应向甲方偿还的债务。</w:t>
      </w:r>
    </w:p>
    <w:p w14:paraId="579DC160">
      <w:pPr>
        <w:pStyle w:val="36"/>
        <w:numPr>
          <w:ilvl w:val="0"/>
          <w:numId w:val="2"/>
        </w:numPr>
        <w:ind w:left="0" w:firstLine="0" w:firstLineChars="0"/>
        <w:jc w:val="left"/>
        <w:rPr>
          <w:b/>
          <w:bCs/>
          <w:sz w:val="18"/>
          <w:szCs w:val="20"/>
        </w:rPr>
      </w:pPr>
      <w:r>
        <w:rPr>
          <w:rFonts w:hint="eastAsia"/>
          <w:b/>
          <w:bCs/>
          <w:sz w:val="18"/>
          <w:szCs w:val="20"/>
        </w:rPr>
        <w:t>信用卡遗失或被窃，乙方应立即按照《承德银行个人信用卡章程》及甲方相关规定，致电甲方服务热线</w:t>
      </w:r>
      <w:r>
        <w:rPr>
          <w:b/>
          <w:bCs/>
          <w:sz w:val="18"/>
          <w:szCs w:val="20"/>
        </w:rPr>
        <w:t>0314-96368</w:t>
      </w:r>
      <w:r>
        <w:rPr>
          <w:rFonts w:hint="eastAsia"/>
          <w:b/>
          <w:bCs/>
          <w:sz w:val="18"/>
          <w:szCs w:val="20"/>
          <w:lang w:eastAsia="zh-CN"/>
        </w:rPr>
        <w:t>、</w:t>
      </w:r>
      <w:r>
        <w:rPr>
          <w:rFonts w:hint="eastAsia"/>
          <w:b/>
          <w:bCs/>
          <w:sz w:val="18"/>
          <w:szCs w:val="20"/>
          <w:lang w:val="en-US" w:eastAsia="zh-CN"/>
        </w:rPr>
        <w:t>前往营业网点、登录信用卡公众号（小程序）、手机银行App等</w:t>
      </w:r>
      <w:r>
        <w:rPr>
          <w:rFonts w:hint="eastAsia"/>
          <w:b/>
          <w:bCs/>
          <w:sz w:val="18"/>
          <w:szCs w:val="20"/>
        </w:rPr>
        <w:t>进行挂失申请。甲乙双方同意，挂失生效前的损失由乙方承担，挂失生效后的损失由甲方承担。但乙方有证据证明甲方存在法律、法规规定的过错，导致乙方损失扩大的除外。若乙方与他人合谋或有其他不诚信行为，或不配合甲方调查情况的，由乙方承担因此造成的损失。信用卡挂失按收费标准收取手续费</w:t>
      </w:r>
      <w:r>
        <w:rPr>
          <w:rFonts w:hint="eastAsia"/>
          <w:b/>
          <w:bCs/>
          <w:sz w:val="18"/>
          <w:szCs w:val="20"/>
          <w:lang w:eastAsia="zh-CN"/>
        </w:rPr>
        <w:t>，</w:t>
      </w:r>
      <w:r>
        <w:rPr>
          <w:rFonts w:hint="eastAsia"/>
          <w:b/>
          <w:bCs/>
          <w:sz w:val="18"/>
          <w:szCs w:val="20"/>
        </w:rPr>
        <w:t>甲方根据乙方的需要为其补办新卡。</w:t>
      </w:r>
    </w:p>
    <w:p w14:paraId="4368A007">
      <w:pPr>
        <w:pStyle w:val="36"/>
        <w:numPr>
          <w:ilvl w:val="0"/>
          <w:numId w:val="2"/>
        </w:numPr>
        <w:ind w:left="0" w:firstLine="0" w:firstLineChars="0"/>
        <w:jc w:val="left"/>
        <w:rPr>
          <w:sz w:val="18"/>
          <w:szCs w:val="20"/>
          <w:highlight w:val="none"/>
        </w:rPr>
      </w:pPr>
      <w:r>
        <w:rPr>
          <w:rFonts w:hint="eastAsia"/>
          <w:sz w:val="18"/>
          <w:szCs w:val="20"/>
          <w:highlight w:val="none"/>
        </w:rPr>
        <w:t>乙方的信用卡交易单据或内容不全，但经甲方确认交易真实存在的，乙方不得拒绝支付该交易款项。若乙方对信用卡发生的交易有疑问，需甲方协助查询并索取有关单据证明的，甲方将予协助，但乙方应承担有关费用。</w:t>
      </w:r>
    </w:p>
    <w:p w14:paraId="278719B5">
      <w:pPr>
        <w:pStyle w:val="36"/>
        <w:numPr>
          <w:ilvl w:val="0"/>
          <w:numId w:val="2"/>
        </w:numPr>
        <w:ind w:left="0" w:firstLine="0" w:firstLineChars="0"/>
        <w:jc w:val="left"/>
        <w:rPr>
          <w:b/>
          <w:bCs/>
          <w:sz w:val="18"/>
          <w:szCs w:val="20"/>
        </w:rPr>
      </w:pPr>
      <w:r>
        <w:rPr>
          <w:rFonts w:hint="eastAsia"/>
          <w:b/>
          <w:bCs/>
          <w:sz w:val="18"/>
          <w:szCs w:val="20"/>
          <w:lang w:val="en-US" w:eastAsia="zh-CN"/>
        </w:rPr>
        <w:t xml:space="preserve"> </w:t>
      </w:r>
      <w:r>
        <w:rPr>
          <w:rFonts w:hint="eastAsia"/>
          <w:b/>
          <w:bCs/>
          <w:sz w:val="18"/>
          <w:szCs w:val="20"/>
        </w:rPr>
        <w:t>乙方及其附属卡持卡人有权要求对异议账务进行查对，但应说明充分理由并按甲方要求提供证明文件，包括但不限于卡片不在现场证据、本人不在刷卡现场证据、交易签名与本人签名不一致证据及甲方要求的其他证据等，请求甲方向收单机构调阅相关交易凭证，若该交易确属乙方及其附属卡持卡人所为，乙方及其附属卡持卡人应支付调单费。</w:t>
      </w:r>
    </w:p>
    <w:p w14:paraId="03321C90">
      <w:pPr>
        <w:pStyle w:val="36"/>
        <w:numPr>
          <w:ilvl w:val="0"/>
          <w:numId w:val="2"/>
        </w:numPr>
        <w:ind w:left="0" w:firstLine="0" w:firstLineChars="0"/>
        <w:jc w:val="left"/>
        <w:rPr>
          <w:sz w:val="18"/>
          <w:szCs w:val="20"/>
        </w:rPr>
      </w:pPr>
      <w:r>
        <w:rPr>
          <w:rFonts w:hint="eastAsia"/>
          <w:sz w:val="18"/>
          <w:szCs w:val="20"/>
        </w:rPr>
        <w:t>为确保乙方用卡安全，若乙方卡片出现误存款、误扣款的情况，乙方授权甲方对争议款项进行冻结、暂停支付或冲正。</w:t>
      </w:r>
    </w:p>
    <w:p w14:paraId="6D3AA0D2">
      <w:pPr>
        <w:pStyle w:val="36"/>
        <w:numPr>
          <w:ilvl w:val="0"/>
          <w:numId w:val="2"/>
        </w:numPr>
        <w:ind w:left="0" w:firstLine="0" w:firstLineChars="0"/>
        <w:jc w:val="left"/>
        <w:rPr>
          <w:sz w:val="18"/>
          <w:szCs w:val="20"/>
        </w:rPr>
      </w:pPr>
      <w:r>
        <w:rPr>
          <w:rFonts w:hint="eastAsia"/>
          <w:sz w:val="18"/>
          <w:szCs w:val="20"/>
        </w:rPr>
        <w:t>信用卡挂失换卡后，原信用卡功能能够自动转移到新卡的，该新卡自动取得原信用卡功能；原信用卡功能不能够自动转移到新卡的，乙方应及时到原签约办理的甲方营业机构办理变更手续。</w:t>
      </w:r>
    </w:p>
    <w:p w14:paraId="42D3D818">
      <w:pPr>
        <w:widowControl/>
        <w:shd w:val="clear" w:color="auto" w:fill="FFFFFF"/>
        <w:jc w:val="left"/>
        <w:rPr>
          <w:rFonts w:ascii="宋体" w:hAnsi="宋体" w:cs="宋体"/>
          <w:b/>
          <w:bCs/>
          <w:color w:val="333333"/>
          <w:kern w:val="0"/>
          <w:sz w:val="18"/>
          <w:szCs w:val="18"/>
        </w:rPr>
      </w:pPr>
    </w:p>
    <w:p w14:paraId="7F145BCD">
      <w:pPr>
        <w:widowControl/>
        <w:shd w:val="clear" w:color="auto" w:fill="FFFFFF"/>
        <w:jc w:val="center"/>
        <w:rPr>
          <w:rFonts w:cs="宋体" w:asciiTheme="minorEastAsia" w:hAnsiTheme="minorEastAsia"/>
          <w:b/>
          <w:bCs/>
          <w:color w:val="333333"/>
          <w:kern w:val="0"/>
          <w:sz w:val="18"/>
          <w:szCs w:val="18"/>
        </w:rPr>
      </w:pPr>
      <w:r>
        <w:rPr>
          <w:rFonts w:hint="eastAsia" w:cs="宋体" w:asciiTheme="minorEastAsia" w:hAnsiTheme="minorEastAsia"/>
          <w:b/>
          <w:bCs/>
          <w:color w:val="333333"/>
          <w:kern w:val="0"/>
          <w:sz w:val="18"/>
          <w:szCs w:val="18"/>
        </w:rPr>
        <w:t>第五部分 关于联名信用卡的特别约定</w:t>
      </w:r>
    </w:p>
    <w:p w14:paraId="79DABF1C">
      <w:pPr>
        <w:pStyle w:val="36"/>
        <w:numPr>
          <w:ilvl w:val="0"/>
          <w:numId w:val="2"/>
        </w:numPr>
        <w:ind w:left="0" w:firstLine="0" w:firstLineChars="0"/>
        <w:jc w:val="left"/>
        <w:rPr>
          <w:sz w:val="18"/>
          <w:szCs w:val="20"/>
        </w:rPr>
      </w:pPr>
      <w:r>
        <w:rPr>
          <w:rFonts w:hint="eastAsia"/>
          <w:sz w:val="18"/>
          <w:szCs w:val="20"/>
        </w:rPr>
        <w:t>本条约定仅在乙方领用甲方与联名卡合作方合作发行的承德银行联名信用卡（以下简称</w:t>
      </w:r>
      <w:r>
        <w:rPr>
          <w:sz w:val="18"/>
          <w:szCs w:val="20"/>
        </w:rPr>
        <w:t>“</w:t>
      </w:r>
      <w:r>
        <w:rPr>
          <w:rFonts w:hint="eastAsia"/>
          <w:sz w:val="18"/>
          <w:szCs w:val="20"/>
        </w:rPr>
        <w:t>联名信用卡</w:t>
      </w:r>
      <w:r>
        <w:rPr>
          <w:sz w:val="18"/>
          <w:szCs w:val="20"/>
        </w:rPr>
        <w:t>”</w:t>
      </w:r>
      <w:r>
        <w:rPr>
          <w:rFonts w:hint="eastAsia"/>
          <w:sz w:val="18"/>
          <w:szCs w:val="20"/>
        </w:rPr>
        <w:t>）的情况下适用。</w:t>
      </w:r>
    </w:p>
    <w:p w14:paraId="5032F5DA">
      <w:pPr>
        <w:pStyle w:val="36"/>
        <w:numPr>
          <w:ilvl w:val="0"/>
          <w:numId w:val="2"/>
        </w:numPr>
        <w:ind w:left="0" w:firstLine="0" w:firstLineChars="0"/>
        <w:jc w:val="left"/>
        <w:rPr>
          <w:sz w:val="18"/>
          <w:szCs w:val="20"/>
        </w:rPr>
      </w:pPr>
      <w:r>
        <w:rPr>
          <w:rFonts w:hint="eastAsia"/>
          <w:sz w:val="18"/>
          <w:szCs w:val="20"/>
        </w:rPr>
        <w:t>乙方同意甲方将其个人资料及相关信息披露给联名卡合作方。</w:t>
      </w:r>
    </w:p>
    <w:p w14:paraId="7DE201B8">
      <w:pPr>
        <w:pStyle w:val="36"/>
        <w:numPr>
          <w:ilvl w:val="0"/>
          <w:numId w:val="2"/>
        </w:numPr>
        <w:ind w:left="0" w:firstLine="0" w:firstLineChars="0"/>
        <w:jc w:val="left"/>
        <w:rPr>
          <w:sz w:val="18"/>
          <w:szCs w:val="20"/>
        </w:rPr>
      </w:pPr>
      <w:r>
        <w:rPr>
          <w:rFonts w:hint="eastAsia"/>
          <w:sz w:val="18"/>
          <w:szCs w:val="20"/>
        </w:rPr>
        <w:t>乙方同意在申请联名信用卡时一并申请成为联名方会员；亦完全知悉并了解联名方会员的各项规定，并接受其相关服务条款。</w:t>
      </w:r>
    </w:p>
    <w:p w14:paraId="46AF4415">
      <w:pPr>
        <w:widowControl/>
        <w:shd w:val="clear" w:color="auto" w:fill="FFFFFF"/>
        <w:jc w:val="left"/>
        <w:rPr>
          <w:rFonts w:hint="eastAsia" w:ascii="宋体" w:hAnsi="宋体" w:cs="宋体"/>
          <w:color w:val="333333"/>
          <w:kern w:val="0"/>
          <w:sz w:val="18"/>
          <w:szCs w:val="18"/>
        </w:rPr>
      </w:pPr>
      <w:r>
        <w:rPr>
          <w:rFonts w:hint="eastAsia" w:ascii="宋体" w:hAnsi="宋体" w:cs="宋体"/>
          <w:color w:val="333333"/>
          <w:kern w:val="0"/>
          <w:sz w:val="18"/>
          <w:szCs w:val="18"/>
        </w:rPr>
        <w:t> </w:t>
      </w:r>
    </w:p>
    <w:p w14:paraId="243E8418">
      <w:pPr>
        <w:widowControl/>
        <w:numPr>
          <w:ilvl w:val="0"/>
          <w:numId w:val="3"/>
        </w:numPr>
        <w:shd w:val="clear" w:color="auto" w:fill="FFFFFF"/>
        <w:jc w:val="center"/>
        <w:rPr>
          <w:rFonts w:hint="eastAsia" w:cs="宋体" w:asciiTheme="minorEastAsia" w:hAnsiTheme="minorEastAsia"/>
          <w:b/>
          <w:bCs/>
          <w:color w:val="333333"/>
          <w:kern w:val="0"/>
          <w:sz w:val="18"/>
          <w:szCs w:val="18"/>
          <w:lang w:val="en-US" w:eastAsia="zh-CN"/>
        </w:rPr>
      </w:pPr>
      <w:r>
        <w:rPr>
          <w:rFonts w:hint="eastAsia" w:cs="宋体" w:asciiTheme="minorEastAsia" w:hAnsiTheme="minorEastAsia"/>
          <w:b/>
          <w:bCs/>
          <w:color w:val="333333"/>
          <w:kern w:val="0"/>
          <w:sz w:val="18"/>
          <w:szCs w:val="18"/>
          <w:lang w:val="en-US" w:eastAsia="zh-CN"/>
        </w:rPr>
        <w:t>反洗钱、反电信网络诈骗条款</w:t>
      </w:r>
    </w:p>
    <w:p w14:paraId="5BA5695B">
      <w:pPr>
        <w:pStyle w:val="36"/>
        <w:numPr>
          <w:ilvl w:val="0"/>
          <w:numId w:val="2"/>
        </w:numPr>
        <w:ind w:left="0" w:firstLine="0" w:firstLineChars="0"/>
        <w:jc w:val="left"/>
        <w:rPr>
          <w:rFonts w:hint="default" w:cs="宋体" w:asciiTheme="minorEastAsia" w:hAnsiTheme="minorEastAsia"/>
          <w:b w:val="0"/>
          <w:bCs w:val="0"/>
          <w:color w:val="333333"/>
          <w:kern w:val="0"/>
          <w:sz w:val="18"/>
          <w:szCs w:val="18"/>
          <w:lang w:val="en-US" w:eastAsia="zh-CN"/>
        </w:rPr>
      </w:pPr>
      <w:r>
        <w:rPr>
          <w:rFonts w:hint="eastAsia" w:cs="宋体" w:asciiTheme="minorEastAsia" w:hAnsiTheme="minorEastAsia"/>
          <w:b w:val="0"/>
          <w:bCs w:val="0"/>
          <w:color w:val="333333"/>
          <w:kern w:val="0"/>
          <w:sz w:val="18"/>
          <w:szCs w:val="18"/>
          <w:lang w:val="en-US" w:eastAsia="zh-CN"/>
        </w:rPr>
        <w:t>乙方应遵守国家有关金融法律法规规定，遵守反洗钱与反恐怖融资、反电信网络诈骗相关规定。乙方应主动更新身份信息，配合甲方进行身份识别与尽职调查。乙方不得利用甲方产品、服务、款项进行洗钱和恐怖融资、电信网络诈骗等违法犯罪活动。如乙方或其附属卡持卡人出现身份文件或信息异常，账户交易异常，涉嫌洗钱、恐怖融资、电信网络诈骗，或出现监管机关规定的或经甲方判断认定的风险特征时，甲方有权随时中止或终止相应服务，对乙方采取止付、冻结、限制交易金额/频次、停止增信业务、禁止申办新卡、禁止销户等管控措施；涉及违法犯罪的，甲方有权采取报案等司法措施。</w:t>
      </w:r>
    </w:p>
    <w:p w14:paraId="6EF2CF25">
      <w:pPr>
        <w:widowControl/>
        <w:shd w:val="clear" w:color="auto" w:fill="FFFFFF"/>
        <w:jc w:val="left"/>
        <w:rPr>
          <w:rFonts w:hint="eastAsia" w:ascii="宋体" w:hAnsi="宋体" w:cs="宋体"/>
          <w:color w:val="333333"/>
          <w:kern w:val="0"/>
          <w:sz w:val="18"/>
          <w:szCs w:val="18"/>
        </w:rPr>
      </w:pPr>
    </w:p>
    <w:p w14:paraId="502F59C0">
      <w:pPr>
        <w:widowControl/>
        <w:shd w:val="clear" w:color="auto" w:fill="FFFFFF"/>
        <w:jc w:val="center"/>
        <w:rPr>
          <w:rFonts w:cs="宋体" w:asciiTheme="minorEastAsia" w:hAnsiTheme="minorEastAsia"/>
          <w:b/>
          <w:bCs/>
          <w:color w:val="333333"/>
          <w:kern w:val="0"/>
          <w:sz w:val="18"/>
          <w:szCs w:val="18"/>
        </w:rPr>
      </w:pPr>
      <w:r>
        <w:rPr>
          <w:rFonts w:hint="eastAsia" w:cs="宋体" w:asciiTheme="minorEastAsia" w:hAnsiTheme="minorEastAsia"/>
          <w:b/>
          <w:bCs/>
          <w:color w:val="333333"/>
          <w:kern w:val="0"/>
          <w:sz w:val="18"/>
          <w:szCs w:val="18"/>
        </w:rPr>
        <w:t>第</w:t>
      </w:r>
      <w:r>
        <w:rPr>
          <w:rFonts w:hint="eastAsia" w:cs="宋体" w:asciiTheme="minorEastAsia" w:hAnsiTheme="minorEastAsia"/>
          <w:b/>
          <w:bCs/>
          <w:color w:val="333333"/>
          <w:kern w:val="0"/>
          <w:sz w:val="18"/>
          <w:szCs w:val="18"/>
          <w:lang w:val="en-US" w:eastAsia="zh-CN"/>
        </w:rPr>
        <w:t>七</w:t>
      </w:r>
      <w:r>
        <w:rPr>
          <w:rFonts w:hint="eastAsia" w:cs="宋体" w:asciiTheme="minorEastAsia" w:hAnsiTheme="minorEastAsia"/>
          <w:b/>
          <w:bCs/>
          <w:color w:val="333333"/>
          <w:kern w:val="0"/>
          <w:sz w:val="18"/>
          <w:szCs w:val="18"/>
        </w:rPr>
        <w:t>部分  其他约定</w:t>
      </w:r>
    </w:p>
    <w:p w14:paraId="08CB4A5B">
      <w:pPr>
        <w:pStyle w:val="36"/>
        <w:numPr>
          <w:ilvl w:val="0"/>
          <w:numId w:val="2"/>
        </w:numPr>
        <w:ind w:left="0" w:firstLine="0" w:firstLineChars="0"/>
        <w:jc w:val="left"/>
        <w:rPr>
          <w:b/>
          <w:bCs/>
          <w:sz w:val="18"/>
          <w:szCs w:val="20"/>
        </w:rPr>
      </w:pPr>
      <w:r>
        <w:rPr>
          <w:rFonts w:hint="eastAsia"/>
          <w:b/>
          <w:bCs/>
          <w:sz w:val="18"/>
          <w:szCs w:val="20"/>
        </w:rPr>
        <w:t>乙方若未依约还款或有违法违规、欺诈等行为，甲方有权催收、依法追索并停止持卡人卡片之使用，甲方也有权对抵押物（如有）行使抵押权，甲方因此而支出的费用（包括律师费和诉讼费）均由乙方承担。乙方同意甲方冻结及扣划其在承德银行辖下任一机构开立的账户内的资产（包括但不限于本外币定期及活期存款、理财产品、第三方存管账户内款项等）以及处分相关信用卡项下抵质押物用于清偿甲方的经济损失。如需冻结及扣划乙方的外币存款或理财产品，乙方同意承德银行冻结、扣划、强制结汇并同意配合承德银行办理结汇的相关事项（如：配合提供相关证明材料等），结汇汇率以承德银行结汇当时对外公布的外币实时买入价为准；如需扣划乙方未到期的定期存款或理财产品，乙方同意放弃其未到期存款或理财产品产生的全部孳息（如有），扣划相应资金用于偿还乙方应偿还债务后剩余的定期存款或理财产品款项将转入乙方活期账户。甲方同时保留依照法律程序追究相关法律责任的权利。</w:t>
      </w:r>
    </w:p>
    <w:p w14:paraId="44E10E96">
      <w:pPr>
        <w:pStyle w:val="36"/>
        <w:numPr>
          <w:ilvl w:val="0"/>
          <w:numId w:val="2"/>
        </w:numPr>
        <w:ind w:left="0" w:firstLine="0" w:firstLineChars="0"/>
        <w:jc w:val="left"/>
        <w:rPr>
          <w:sz w:val="18"/>
          <w:szCs w:val="20"/>
        </w:rPr>
      </w:pPr>
      <w:r>
        <w:rPr>
          <w:rFonts w:hint="eastAsia"/>
          <w:sz w:val="18"/>
          <w:szCs w:val="20"/>
        </w:rPr>
        <w:t>乙方同意并接受甲方赠送的各项保险及其他服务（如有）。</w:t>
      </w:r>
    </w:p>
    <w:p w14:paraId="7911D4BF">
      <w:pPr>
        <w:pStyle w:val="36"/>
        <w:numPr>
          <w:ilvl w:val="0"/>
          <w:numId w:val="2"/>
        </w:numPr>
        <w:ind w:left="0" w:firstLine="0" w:firstLineChars="0"/>
        <w:jc w:val="left"/>
        <w:rPr>
          <w:b/>
          <w:bCs/>
          <w:sz w:val="18"/>
          <w:szCs w:val="20"/>
        </w:rPr>
      </w:pPr>
      <w:r>
        <w:rPr>
          <w:rFonts w:hint="eastAsia"/>
          <w:b/>
          <w:bCs/>
          <w:sz w:val="18"/>
          <w:szCs w:val="20"/>
        </w:rPr>
        <w:t>乙方同意并允许甲方通过网站、电子邮件、对账单、短信、手机APP、语音电话等方式提供介绍优惠资讯、金融产品及其他增值产品的服务（包括但不限于代理销售的保险业务）。</w:t>
      </w:r>
    </w:p>
    <w:p w14:paraId="1630CC23">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为防范风险，保障甲乙双方利益，乙方有义务配合甲方的调查，并按甲方要求及时提供相关文件资料，否则，由此造成的损失由乙方承担。</w:t>
      </w:r>
    </w:p>
    <w:p w14:paraId="402D7E40">
      <w:pPr>
        <w:pStyle w:val="36"/>
        <w:numPr>
          <w:ilvl w:val="0"/>
          <w:numId w:val="2"/>
        </w:numPr>
        <w:ind w:left="0" w:firstLine="0" w:firstLineChars="0"/>
        <w:jc w:val="left"/>
        <w:rPr>
          <w:sz w:val="18"/>
          <w:szCs w:val="20"/>
        </w:rPr>
      </w:pPr>
      <w:r>
        <w:rPr>
          <w:rFonts w:hint="eastAsia"/>
          <w:sz w:val="18"/>
          <w:szCs w:val="20"/>
        </w:rPr>
        <w:t>乙方及其附属卡持卡人不得将信用卡用于非消费性透支。</w:t>
      </w:r>
    </w:p>
    <w:p w14:paraId="7DE762C9">
      <w:pPr>
        <w:pStyle w:val="36"/>
        <w:numPr>
          <w:ilvl w:val="0"/>
          <w:numId w:val="2"/>
        </w:numPr>
        <w:ind w:left="0" w:firstLine="0" w:firstLineChars="0"/>
        <w:jc w:val="left"/>
        <w:rPr>
          <w:sz w:val="18"/>
          <w:szCs w:val="20"/>
        </w:rPr>
      </w:pPr>
      <w:r>
        <w:rPr>
          <w:rFonts w:hint="eastAsia"/>
          <w:sz w:val="18"/>
          <w:szCs w:val="20"/>
        </w:rPr>
        <w:t>乙方及其附属卡持卡人经甲方许可办理信用卡分期付款、积分交易和兑换、快捷支付业务、非接触式支付（包括但不限于</w:t>
      </w:r>
      <w:r>
        <w:rPr>
          <w:sz w:val="18"/>
          <w:szCs w:val="20"/>
        </w:rPr>
        <w:t>VISA Paywave</w:t>
      </w:r>
      <w:r>
        <w:rPr>
          <w:rFonts w:hint="eastAsia"/>
          <w:sz w:val="18"/>
          <w:szCs w:val="20"/>
        </w:rPr>
        <w:t>等）或其他业务的，须遵守甲方另行发布（包括但不限于甲方公告、网站、手机银行等一种或多种渠道）的业务协议和规则（以甲方最新发布的为准）。</w:t>
      </w:r>
    </w:p>
    <w:p w14:paraId="719920C1">
      <w:pPr>
        <w:pStyle w:val="36"/>
        <w:numPr>
          <w:ilvl w:val="0"/>
          <w:numId w:val="2"/>
        </w:numPr>
        <w:ind w:left="0" w:firstLine="0" w:firstLineChars="0"/>
        <w:jc w:val="left"/>
        <w:rPr>
          <w:sz w:val="18"/>
          <w:szCs w:val="20"/>
          <w:highlight w:val="none"/>
        </w:rPr>
      </w:pPr>
      <w:r>
        <w:rPr>
          <w:rFonts w:hint="eastAsia"/>
          <w:sz w:val="18"/>
          <w:szCs w:val="20"/>
          <w:highlight w:val="none"/>
        </w:rPr>
        <w:t>乙方知悉并同意，信用卡增值服务、权益及礼遇等（以下简称</w:t>
      </w:r>
      <w:r>
        <w:rPr>
          <w:sz w:val="18"/>
          <w:szCs w:val="20"/>
          <w:highlight w:val="none"/>
        </w:rPr>
        <w:t>“</w:t>
      </w:r>
      <w:r>
        <w:rPr>
          <w:rFonts w:hint="eastAsia"/>
          <w:sz w:val="18"/>
          <w:szCs w:val="20"/>
          <w:highlight w:val="none"/>
        </w:rPr>
        <w:t>增值服务礼遇</w:t>
      </w:r>
      <w:r>
        <w:rPr>
          <w:sz w:val="18"/>
          <w:szCs w:val="20"/>
          <w:highlight w:val="none"/>
        </w:rPr>
        <w:t>”</w:t>
      </w:r>
      <w:r>
        <w:rPr>
          <w:rFonts w:hint="eastAsia"/>
          <w:sz w:val="18"/>
          <w:szCs w:val="20"/>
          <w:highlight w:val="none"/>
        </w:rPr>
        <w:t>）是由甲方所合作的第三方供应商提供，受限于甲方与第三方供应商的合作情况，增值服务礼遇的合作商户、合作门店、合作期限及其他事项随时可能发生变化，无法做到提前通知。乙方同意增值服务礼遇及相应供应商的选择（包括且不限于合作商户、合作门店、合作期限及其他事项）均不构成甲方对乙方的承诺。无论该等变更是否发生在乙方已缴年费所在当期期限内，该等变更均自甲方公告或通知发布时即时生效，但公告或通知中载明了生效时间的除外。如乙方不接受上述变更，乙方应立即停止使用信用卡，并按照规定办理销户手续，否则视为乙方同意该等变更，变更后的内容对乙方具有法律约束力。</w:t>
      </w:r>
    </w:p>
    <w:p w14:paraId="3D900604">
      <w:pPr>
        <w:pStyle w:val="36"/>
        <w:numPr>
          <w:ilvl w:val="0"/>
          <w:numId w:val="2"/>
        </w:numPr>
        <w:ind w:left="0" w:firstLine="0" w:firstLineChars="0"/>
        <w:jc w:val="left"/>
        <w:rPr>
          <w:b/>
          <w:bCs/>
          <w:sz w:val="18"/>
          <w:szCs w:val="20"/>
        </w:rPr>
      </w:pPr>
      <w:r>
        <w:rPr>
          <w:rFonts w:hint="eastAsia"/>
          <w:b/>
          <w:bCs/>
          <w:sz w:val="18"/>
          <w:szCs w:val="20"/>
        </w:rPr>
        <w:t>乙方知悉并同意，为便利乙方及其附属卡持卡人的小额交易用卡，依据银联的规定，甲方发行的带有</w:t>
      </w:r>
      <w:r>
        <w:rPr>
          <w:b/>
          <w:bCs/>
          <w:sz w:val="18"/>
          <w:szCs w:val="20"/>
        </w:rPr>
        <w:t>“</w:t>
      </w:r>
      <w:r>
        <w:rPr>
          <w:rFonts w:hint="eastAsia"/>
          <w:b/>
          <w:bCs/>
          <w:sz w:val="18"/>
          <w:szCs w:val="20"/>
        </w:rPr>
        <w:t>闪付</w:t>
      </w:r>
      <w:r>
        <w:rPr>
          <w:b/>
          <w:bCs/>
          <w:sz w:val="18"/>
          <w:szCs w:val="20"/>
        </w:rPr>
        <w:t>”</w:t>
      </w:r>
      <w:r>
        <w:rPr>
          <w:rFonts w:hint="eastAsia"/>
          <w:b/>
          <w:bCs/>
          <w:sz w:val="18"/>
          <w:szCs w:val="20"/>
        </w:rPr>
        <w:t>、</w:t>
      </w:r>
      <w:r>
        <w:rPr>
          <w:b/>
          <w:bCs/>
          <w:sz w:val="18"/>
          <w:szCs w:val="20"/>
        </w:rPr>
        <w:t>“QuickPass”</w:t>
      </w:r>
      <w:r>
        <w:rPr>
          <w:rFonts w:hint="eastAsia"/>
          <w:b/>
          <w:bCs/>
          <w:sz w:val="18"/>
          <w:szCs w:val="20"/>
        </w:rPr>
        <w:t>或非接标识的银联</w:t>
      </w:r>
      <w:r>
        <w:rPr>
          <w:b/>
          <w:bCs/>
          <w:sz w:val="18"/>
          <w:szCs w:val="20"/>
        </w:rPr>
        <w:t>IC</w:t>
      </w:r>
      <w:r>
        <w:rPr>
          <w:rFonts w:hint="eastAsia"/>
          <w:b/>
          <w:bCs/>
          <w:sz w:val="18"/>
          <w:szCs w:val="20"/>
        </w:rPr>
        <w:t>信用卡</w:t>
      </w:r>
      <w:r>
        <w:rPr>
          <w:rFonts w:hint="eastAsia"/>
          <w:b/>
          <w:bCs/>
          <w:sz w:val="18"/>
          <w:szCs w:val="20"/>
          <w:lang w:eastAsia="zh-CN"/>
        </w:rPr>
        <w:t>，</w:t>
      </w:r>
      <w:r>
        <w:rPr>
          <w:rFonts w:hint="eastAsia"/>
          <w:b/>
          <w:bCs/>
          <w:sz w:val="18"/>
          <w:szCs w:val="20"/>
        </w:rPr>
        <w:t>开通</w:t>
      </w:r>
      <w:r>
        <w:rPr>
          <w:b/>
          <w:bCs/>
          <w:sz w:val="18"/>
          <w:szCs w:val="20"/>
        </w:rPr>
        <w:t>“</w:t>
      </w:r>
      <w:r>
        <w:rPr>
          <w:rFonts w:hint="eastAsia"/>
          <w:b/>
          <w:bCs/>
          <w:sz w:val="18"/>
          <w:szCs w:val="20"/>
        </w:rPr>
        <w:t>闪付</w:t>
      </w:r>
      <w:r>
        <w:rPr>
          <w:b/>
          <w:bCs/>
          <w:sz w:val="18"/>
          <w:szCs w:val="20"/>
        </w:rPr>
        <w:t>”</w:t>
      </w:r>
      <w:r>
        <w:rPr>
          <w:rFonts w:hint="eastAsia"/>
          <w:b/>
          <w:bCs/>
          <w:sz w:val="18"/>
          <w:szCs w:val="20"/>
        </w:rPr>
        <w:t>和</w:t>
      </w:r>
      <w:r>
        <w:rPr>
          <w:b/>
          <w:bCs/>
          <w:sz w:val="18"/>
          <w:szCs w:val="20"/>
        </w:rPr>
        <w:t>“</w:t>
      </w:r>
      <w:r>
        <w:rPr>
          <w:rFonts w:hint="eastAsia"/>
          <w:b/>
          <w:bCs/>
          <w:sz w:val="18"/>
          <w:szCs w:val="20"/>
        </w:rPr>
        <w:t>小额免密免签</w:t>
      </w:r>
      <w:r>
        <w:rPr>
          <w:b/>
          <w:bCs/>
          <w:sz w:val="18"/>
          <w:szCs w:val="20"/>
        </w:rPr>
        <w:t>”</w:t>
      </w:r>
      <w:r>
        <w:rPr>
          <w:rFonts w:hint="eastAsia"/>
          <w:b/>
          <w:bCs/>
          <w:sz w:val="18"/>
          <w:szCs w:val="20"/>
        </w:rPr>
        <w:t>功能，乙方及其附属卡持卡人在指定商户进行一定金额（具体由银联规定）及以下的非接触方式消费时，无需输入密码也无需在打印凭证或电子付款凭证上签名确认即可完成支付。对带有</w:t>
      </w:r>
      <w:r>
        <w:rPr>
          <w:b/>
          <w:bCs/>
          <w:sz w:val="18"/>
          <w:szCs w:val="20"/>
        </w:rPr>
        <w:t>“</w:t>
      </w:r>
      <w:r>
        <w:rPr>
          <w:rFonts w:hint="eastAsia"/>
          <w:b/>
          <w:bCs/>
          <w:sz w:val="18"/>
          <w:szCs w:val="20"/>
        </w:rPr>
        <w:t>小额免密免签</w:t>
      </w:r>
      <w:r>
        <w:rPr>
          <w:b/>
          <w:bCs/>
          <w:sz w:val="18"/>
          <w:szCs w:val="20"/>
        </w:rPr>
        <w:t>”</w:t>
      </w:r>
      <w:r>
        <w:rPr>
          <w:rFonts w:hint="eastAsia"/>
          <w:b/>
          <w:bCs/>
          <w:sz w:val="18"/>
          <w:szCs w:val="20"/>
        </w:rPr>
        <w:t>功能的信用卡，乙方可通过</w:t>
      </w:r>
      <w:r>
        <w:rPr>
          <w:rFonts w:hint="eastAsia"/>
          <w:b/>
          <w:bCs/>
          <w:sz w:val="18"/>
          <w:szCs w:val="20"/>
          <w:lang w:val="en-US" w:eastAsia="zh-CN"/>
        </w:rPr>
        <w:t>信用卡公众号（小程序）</w:t>
      </w:r>
      <w:r>
        <w:rPr>
          <w:rFonts w:hint="eastAsia"/>
          <w:b/>
          <w:bCs/>
          <w:sz w:val="18"/>
          <w:szCs w:val="20"/>
        </w:rPr>
        <w:t>关闭</w:t>
      </w:r>
      <w:r>
        <w:rPr>
          <w:b/>
          <w:bCs/>
          <w:sz w:val="18"/>
          <w:szCs w:val="20"/>
        </w:rPr>
        <w:t>“</w:t>
      </w:r>
      <w:r>
        <w:rPr>
          <w:rFonts w:hint="eastAsia"/>
          <w:b/>
          <w:bCs/>
          <w:sz w:val="18"/>
          <w:szCs w:val="20"/>
        </w:rPr>
        <w:t>小额免密免签</w:t>
      </w:r>
      <w:r>
        <w:rPr>
          <w:b/>
          <w:bCs/>
          <w:sz w:val="18"/>
          <w:szCs w:val="20"/>
        </w:rPr>
        <w:t>”</w:t>
      </w:r>
      <w:r>
        <w:rPr>
          <w:rFonts w:hint="eastAsia"/>
          <w:b/>
          <w:bCs/>
          <w:sz w:val="18"/>
          <w:szCs w:val="20"/>
        </w:rPr>
        <w:t>功能。</w:t>
      </w:r>
    </w:p>
    <w:p w14:paraId="73DB4CF0">
      <w:pPr>
        <w:pStyle w:val="36"/>
        <w:numPr>
          <w:ilvl w:val="0"/>
          <w:numId w:val="2"/>
        </w:numPr>
        <w:ind w:left="0" w:firstLine="0" w:firstLineChars="0"/>
        <w:jc w:val="left"/>
        <w:rPr>
          <w:sz w:val="18"/>
          <w:szCs w:val="20"/>
        </w:rPr>
      </w:pPr>
      <w:r>
        <w:rPr>
          <w:rFonts w:hint="eastAsia"/>
          <w:sz w:val="18"/>
          <w:szCs w:val="20"/>
        </w:rPr>
        <w:t>甲方在报送乙方不良信息之前，会通过微信、邮件、短信、信函等方式（甲方将根据实际业务情况选择一种或多种方式）告知乙方，但依照法律、行政法规规定公开的不良信息除外。如乙方发起征信异议，甲方会将异议结果通过微信、邮件、短信等方式（甲方将根据实际业务情况选择一种或多种方式）及时通知乙方。</w:t>
      </w:r>
    </w:p>
    <w:p w14:paraId="1CF7DC20">
      <w:pPr>
        <w:widowControl/>
        <w:shd w:val="clear" w:color="auto" w:fill="FFFFFF"/>
        <w:jc w:val="left"/>
        <w:rPr>
          <w:rFonts w:ascii="宋体" w:hAnsi="宋体" w:cs="宋体"/>
          <w:color w:val="333333"/>
          <w:kern w:val="0"/>
          <w:sz w:val="18"/>
          <w:szCs w:val="18"/>
        </w:rPr>
      </w:pPr>
      <w:r>
        <w:rPr>
          <w:rFonts w:hint="eastAsia" w:ascii="宋体" w:hAnsi="宋体" w:cs="宋体"/>
          <w:color w:val="333333"/>
          <w:kern w:val="0"/>
          <w:sz w:val="18"/>
          <w:szCs w:val="18"/>
        </w:rPr>
        <w:t> </w:t>
      </w:r>
    </w:p>
    <w:p w14:paraId="06B74491">
      <w:pPr>
        <w:widowControl/>
        <w:shd w:val="clear" w:color="auto" w:fill="FFFFFF"/>
        <w:jc w:val="center"/>
        <w:rPr>
          <w:rFonts w:cs="宋体" w:asciiTheme="minorEastAsia" w:hAnsiTheme="minorEastAsia"/>
          <w:b/>
          <w:bCs/>
          <w:color w:val="333333"/>
          <w:kern w:val="0"/>
          <w:sz w:val="18"/>
          <w:szCs w:val="18"/>
        </w:rPr>
      </w:pPr>
      <w:r>
        <w:rPr>
          <w:rFonts w:hint="eastAsia" w:cs="宋体" w:asciiTheme="minorEastAsia" w:hAnsiTheme="minorEastAsia"/>
          <w:b/>
          <w:bCs/>
          <w:color w:val="333333"/>
          <w:kern w:val="0"/>
          <w:sz w:val="18"/>
          <w:szCs w:val="18"/>
        </w:rPr>
        <w:t>第</w:t>
      </w:r>
      <w:r>
        <w:rPr>
          <w:rFonts w:hint="eastAsia" w:cs="宋体" w:asciiTheme="minorEastAsia" w:hAnsiTheme="minorEastAsia"/>
          <w:b/>
          <w:bCs/>
          <w:color w:val="333333"/>
          <w:kern w:val="0"/>
          <w:sz w:val="18"/>
          <w:szCs w:val="18"/>
          <w:lang w:val="en-US" w:eastAsia="zh-CN"/>
        </w:rPr>
        <w:t>八</w:t>
      </w:r>
      <w:r>
        <w:rPr>
          <w:rFonts w:hint="eastAsia" w:cs="宋体" w:asciiTheme="minorEastAsia" w:hAnsiTheme="minorEastAsia"/>
          <w:b/>
          <w:bCs/>
          <w:color w:val="333333"/>
          <w:kern w:val="0"/>
          <w:sz w:val="18"/>
          <w:szCs w:val="18"/>
        </w:rPr>
        <w:t>部分  附则</w:t>
      </w:r>
    </w:p>
    <w:p w14:paraId="707CEF7B">
      <w:pPr>
        <w:pStyle w:val="36"/>
        <w:numPr>
          <w:ilvl w:val="0"/>
          <w:numId w:val="2"/>
        </w:numPr>
        <w:ind w:left="0" w:firstLine="0" w:firstLineChars="0"/>
        <w:jc w:val="left"/>
        <w:rPr>
          <w:sz w:val="18"/>
          <w:szCs w:val="20"/>
        </w:rPr>
      </w:pPr>
      <w:r>
        <w:rPr>
          <w:rFonts w:hint="eastAsia"/>
          <w:sz w:val="18"/>
          <w:szCs w:val="20"/>
        </w:rPr>
        <w:t>甲方信用卡网站所公布的《承德银行个人信用卡章程》、收费标准、积分累计及回馈规则是本合约不可分割的部分，与本合约具有同等法律效力。</w:t>
      </w:r>
      <w:r>
        <w:rPr>
          <w:rFonts w:hint="eastAsia"/>
          <w:b/>
          <w:bCs/>
          <w:sz w:val="18"/>
          <w:szCs w:val="20"/>
        </w:rPr>
        <w:t>附录所附收费标准与甲方信用卡网站不时公布的标准不一致的，以后者为准。章程内容与本合约不一致的，以本合约为准。</w:t>
      </w:r>
    </w:p>
    <w:p w14:paraId="35A8530C">
      <w:pPr>
        <w:pStyle w:val="36"/>
        <w:numPr>
          <w:ilvl w:val="0"/>
          <w:numId w:val="2"/>
        </w:numPr>
        <w:ind w:left="0" w:firstLine="0" w:firstLineChars="0"/>
        <w:jc w:val="left"/>
        <w:rPr>
          <w:b/>
          <w:bCs/>
          <w:sz w:val="18"/>
          <w:szCs w:val="20"/>
        </w:rPr>
      </w:pPr>
      <w:r>
        <w:rPr>
          <w:rFonts w:hint="eastAsia"/>
          <w:sz w:val="18"/>
          <w:szCs w:val="20"/>
        </w:rPr>
        <w:t>合约内容、收费项目、收费标准、利率等如有变动，调整后的内容将按照法律法规、监管规定所确定的时间进行公告后施行。同时甲方将视情况辅以一种或多种方式（如通过承德银行手机APP、</w:t>
      </w:r>
      <w:r>
        <w:rPr>
          <w:rFonts w:hint="eastAsia"/>
          <w:sz w:val="18"/>
          <w:szCs w:val="20"/>
          <w:lang w:val="en-US" w:eastAsia="zh-CN"/>
        </w:rPr>
        <w:t>信用卡</w:t>
      </w:r>
      <w:r>
        <w:rPr>
          <w:rFonts w:hint="eastAsia"/>
          <w:sz w:val="18"/>
          <w:szCs w:val="20"/>
        </w:rPr>
        <w:t>公众号</w:t>
      </w:r>
      <w:r>
        <w:rPr>
          <w:rFonts w:hint="eastAsia"/>
          <w:sz w:val="18"/>
          <w:szCs w:val="20"/>
          <w:lang w:val="en-US" w:eastAsia="zh-CN"/>
        </w:rPr>
        <w:t>/</w:t>
      </w:r>
      <w:r>
        <w:rPr>
          <w:rFonts w:hint="eastAsia"/>
          <w:sz w:val="18"/>
          <w:szCs w:val="20"/>
        </w:rPr>
        <w:t>小程序、短信、电话等方式）通知乙方相关变动事项，乙方根据通知内容，可至指定地址查看详细公告信息。乙方有权在甲方公告期间选择是否继续使用信用卡及相关服务，如乙方不愿接受甲方公告内容的，可在公告施行前申请终止相关服务或选择甲方提供的其他服务。</w:t>
      </w:r>
      <w:r>
        <w:rPr>
          <w:rFonts w:hint="eastAsia"/>
          <w:b/>
          <w:bCs/>
          <w:sz w:val="18"/>
          <w:szCs w:val="20"/>
        </w:rPr>
        <w:t>乙方既不执行公告内容，又不申请终止或更换为甲方其他服务的，甲方有权选择终止本合约。</w:t>
      </w:r>
    </w:p>
    <w:p w14:paraId="3CB696A8">
      <w:pPr>
        <w:pStyle w:val="36"/>
        <w:numPr>
          <w:ilvl w:val="0"/>
          <w:numId w:val="2"/>
        </w:numPr>
        <w:ind w:left="0" w:firstLine="0" w:firstLineChars="0"/>
        <w:jc w:val="left"/>
        <w:rPr>
          <w:sz w:val="18"/>
          <w:szCs w:val="20"/>
        </w:rPr>
      </w:pPr>
      <w:r>
        <w:rPr>
          <w:rFonts w:hint="eastAsia"/>
          <w:sz w:val="18"/>
          <w:szCs w:val="20"/>
        </w:rPr>
        <w:t>乙方如发生未按时还款或其他违反本合约情形的，甲方有权终止乙方信用卡的部分或全部功能，收回或授权有关机构收回信用卡，或将该卡列入止付名单，并追回全部欠款，上述因催收或追索产生的诉讼费、保全费、诉讼保全保险费、律师费、差旅费等由乙方承担。</w:t>
      </w:r>
    </w:p>
    <w:p w14:paraId="0509F50B">
      <w:pPr>
        <w:pStyle w:val="36"/>
        <w:numPr>
          <w:ilvl w:val="0"/>
          <w:numId w:val="2"/>
        </w:numPr>
        <w:ind w:left="0" w:firstLine="0" w:firstLineChars="0"/>
        <w:jc w:val="left"/>
        <w:rPr>
          <w:sz w:val="18"/>
          <w:szCs w:val="20"/>
        </w:rPr>
      </w:pPr>
      <w:r>
        <w:rPr>
          <w:rFonts w:hint="eastAsia"/>
          <w:sz w:val="18"/>
          <w:szCs w:val="20"/>
        </w:rPr>
        <w:t>本合约自乙方于信用卡申请表上签名或在网上点击确认提交申请要求时生效。乙方领用信用卡后要求退卡和解除合约的，必须清偿信用卡账户债务，并按甲方规定办理销户后，方可解除本合约。</w:t>
      </w:r>
    </w:p>
    <w:p w14:paraId="18D3BB70">
      <w:pPr>
        <w:pStyle w:val="36"/>
        <w:numPr>
          <w:ilvl w:val="0"/>
          <w:numId w:val="2"/>
        </w:numPr>
        <w:ind w:left="0" w:firstLine="0" w:firstLineChars="0"/>
        <w:jc w:val="left"/>
        <w:rPr>
          <w:sz w:val="18"/>
          <w:szCs w:val="20"/>
        </w:rPr>
      </w:pPr>
      <w:r>
        <w:rPr>
          <w:rFonts w:hint="eastAsia"/>
          <w:sz w:val="18"/>
          <w:szCs w:val="20"/>
          <w:lang w:val="en-US" w:eastAsia="zh-CN"/>
        </w:rPr>
        <w:t xml:space="preserve"> </w:t>
      </w:r>
      <w:r>
        <w:rPr>
          <w:rFonts w:hint="eastAsia"/>
          <w:sz w:val="18"/>
          <w:szCs w:val="20"/>
        </w:rPr>
        <w:t>本合约适用中华人民共和国法律、法规、规章及监管机关的规定，在合约履行中如发生争议，由甲乙双方协商解决，协商不成的，向被告所在地或者合约履行地人民法院提起诉讼，乙方无异议，则默认向甲方所在地人民法院提起诉讼。</w:t>
      </w:r>
    </w:p>
    <w:p w14:paraId="102005A4">
      <w:pPr>
        <w:widowControl/>
        <w:shd w:val="clear" w:color="auto" w:fill="FFFFFF"/>
        <w:jc w:val="left"/>
        <w:rPr>
          <w:rFonts w:cs="宋体" w:asciiTheme="minorEastAsia" w:hAnsiTheme="minorEastAsia"/>
          <w:color w:val="333333"/>
          <w:kern w:val="0"/>
          <w:sz w:val="18"/>
          <w:szCs w:val="18"/>
        </w:rPr>
      </w:pPr>
      <w:r>
        <w:rPr>
          <w:rFonts w:hint="eastAsia" w:asciiTheme="minorEastAsia" w:hAnsiTheme="minorEastAsia" w:eastAsiaTheme="minorEastAsia" w:cstheme="minorEastAsia"/>
          <w:color w:val="333333"/>
          <w:kern w:val="0"/>
          <w:sz w:val="18"/>
          <w:szCs w:val="18"/>
        </w:rPr>
        <w:t>未尽事宜除甲、乙双方另有约定外，依照现行法律法规、监管规定、甲方业务规定及金融行业惯例办理。</w:t>
      </w:r>
    </w:p>
    <w:p w14:paraId="7270C5C4">
      <w:pPr>
        <w:pStyle w:val="36"/>
        <w:numPr>
          <w:ilvl w:val="0"/>
          <w:numId w:val="2"/>
        </w:numPr>
        <w:ind w:left="0" w:firstLine="0" w:firstLineChars="0"/>
        <w:jc w:val="left"/>
        <w:rPr>
          <w:b/>
          <w:sz w:val="18"/>
          <w:szCs w:val="20"/>
        </w:rPr>
      </w:pPr>
      <w:r>
        <w:rPr>
          <w:rFonts w:hint="eastAsia"/>
          <w:b/>
          <w:sz w:val="18"/>
          <w:szCs w:val="20"/>
        </w:rPr>
        <w:t>乙方指定并确认在甲方认可的渠道申请“承德银行信用卡”时填写的乙方地址均作为本合约项下各种文书及发生争议时所涉诉讼、仲裁文书的有效送达地址，包括非诉讼阶段和争议进入仲裁、民事诉讼程序后的一审、二审、再</w:t>
      </w:r>
      <w:r>
        <w:rPr>
          <w:rFonts w:hint="eastAsia"/>
          <w:b/>
          <w:sz w:val="18"/>
          <w:szCs w:val="20"/>
          <w:lang w:val="en-US" w:eastAsia="zh-CN"/>
        </w:rPr>
        <w:t>审</w:t>
      </w:r>
      <w:r>
        <w:rPr>
          <w:rFonts w:hint="eastAsia"/>
          <w:b/>
          <w:sz w:val="18"/>
          <w:szCs w:val="20"/>
        </w:rPr>
        <w:t>和执行程序，乙方同意接受电子方式送达。因乙方提供或者确认的送达地址不准确、送达地址变更后未及时依程序告知甲方和法院</w:t>
      </w:r>
      <w:r>
        <w:rPr>
          <w:b/>
          <w:sz w:val="18"/>
          <w:szCs w:val="20"/>
        </w:rPr>
        <w:t>/</w:t>
      </w:r>
      <w:r>
        <w:rPr>
          <w:rFonts w:hint="eastAsia"/>
          <w:b/>
          <w:sz w:val="18"/>
          <w:szCs w:val="20"/>
        </w:rPr>
        <w:t>仲裁机构、乙方或指定的接收人拒绝签收</w:t>
      </w:r>
      <w:r>
        <w:rPr>
          <w:b/>
          <w:sz w:val="18"/>
          <w:szCs w:val="20"/>
        </w:rPr>
        <w:t>/</w:t>
      </w:r>
      <w:r>
        <w:rPr>
          <w:rFonts w:hint="eastAsia"/>
          <w:b/>
          <w:sz w:val="18"/>
          <w:szCs w:val="20"/>
        </w:rPr>
        <w:t>无人签收等原因，导致本合约项下各种文书以及法律文书等未能被实际接收的，邮寄送达的，以文书退回之日视为送达之日；直接送达的，送达人当场在送达回证上记明情况之日视为送达之日；电子送达（网上银行、电话银行、</w:t>
      </w:r>
      <w:r>
        <w:fldChar w:fldCharType="begin"/>
      </w:r>
      <w:r>
        <w:instrText xml:space="preserve"> HYPERLINK "http://www.qdccb.com/dzyx/sjyx/ywjs/iosxz/index.shtml" </w:instrText>
      </w:r>
      <w:r>
        <w:fldChar w:fldCharType="separate"/>
      </w:r>
      <w:r>
        <w:rPr>
          <w:rFonts w:hint="eastAsia"/>
          <w:b/>
          <w:sz w:val="18"/>
          <w:szCs w:val="20"/>
        </w:rPr>
        <w:t>手机银行</w:t>
      </w:r>
      <w:r>
        <w:rPr>
          <w:rFonts w:hint="eastAsia"/>
          <w:b/>
          <w:sz w:val="18"/>
          <w:szCs w:val="20"/>
        </w:rPr>
        <w:fldChar w:fldCharType="end"/>
      </w:r>
      <w:r>
        <w:rPr>
          <w:b/>
          <w:sz w:val="18"/>
          <w:szCs w:val="20"/>
        </w:rPr>
        <w:t>APP</w:t>
      </w:r>
      <w:r>
        <w:rPr>
          <w:rFonts w:hint="eastAsia"/>
          <w:b/>
          <w:sz w:val="18"/>
          <w:szCs w:val="20"/>
        </w:rPr>
        <w:t>、电子邮件、手机短信、微信等方式）的，以发送方设备显示发送成功视为送达；公告送达（营业网点张贴公告、公众媒体刊登公告等方式）的，自公告之日视为送达。通过上述任何一种或多种方式送达各类文书的，送达时间以最先送达的为准。上述送达地址如有变更，乙方必须在变更后</w:t>
      </w:r>
      <w:r>
        <w:rPr>
          <w:b/>
          <w:sz w:val="18"/>
          <w:szCs w:val="20"/>
        </w:rPr>
        <w:t>5</w:t>
      </w:r>
      <w:r>
        <w:rPr>
          <w:rFonts w:hint="eastAsia"/>
          <w:b/>
          <w:sz w:val="18"/>
          <w:szCs w:val="20"/>
        </w:rPr>
        <w:t>日内书面通知甲方，否则按上述地址进行的送达仍然有效，未及时通知变更情况的一方自行承担由此产生的法律后果。本条款属于独立存在的有效送达地址及信息确认的条款，不因本合约效力影响乙方依照本条款约定承担有效送达的法律后果。</w:t>
      </w:r>
    </w:p>
    <w:p w14:paraId="6D71398A">
      <w:pPr>
        <w:pStyle w:val="36"/>
        <w:numPr>
          <w:ilvl w:val="0"/>
          <w:numId w:val="2"/>
        </w:numPr>
        <w:ind w:left="0" w:firstLine="0" w:firstLineChars="0"/>
        <w:jc w:val="left"/>
        <w:rPr>
          <w:sz w:val="18"/>
          <w:szCs w:val="20"/>
        </w:rPr>
      </w:pPr>
      <w:r>
        <w:rPr>
          <w:rFonts w:hint="eastAsia"/>
          <w:b/>
          <w:bCs/>
          <w:sz w:val="18"/>
          <w:szCs w:val="20"/>
        </w:rPr>
        <w:t>乙方授权甲方，除法律另有规定之外，基于为乙方提供信用卡业务涉及的服务和产品的目的，向甲方因服务必要开展合作的伙伴提供、查询、收集本人的信息，如身份、财产和其它有关信息（包含但不限于学历、职业、缴纳社会保险和住房公积金、拥有机动车、房地产或金融资产等信息）。</w:t>
      </w:r>
    </w:p>
    <w:p w14:paraId="234E7FF7">
      <w:pPr>
        <w:pStyle w:val="36"/>
        <w:numPr>
          <w:ilvl w:val="0"/>
          <w:numId w:val="2"/>
        </w:numPr>
        <w:ind w:left="0" w:firstLine="0" w:firstLineChars="0"/>
        <w:jc w:val="left"/>
        <w:rPr>
          <w:sz w:val="18"/>
          <w:szCs w:val="20"/>
        </w:rPr>
      </w:pPr>
      <w:r>
        <w:rPr>
          <w:rFonts w:hint="eastAsia"/>
          <w:sz w:val="18"/>
          <w:szCs w:val="20"/>
        </w:rPr>
        <w:t>为确保乙方信息的安全，甲方及其合作伙伴对上述信息负有保密义务，并采取各种措施保证信息安全。本条款自本合约签署时生效，具有独立法律效力，不受合同成立与否及效力状态变化的影响。</w:t>
      </w:r>
    </w:p>
    <w:p w14:paraId="56207772">
      <w:pPr>
        <w:pStyle w:val="36"/>
        <w:numPr>
          <w:ilvl w:val="0"/>
          <w:numId w:val="2"/>
        </w:numPr>
        <w:ind w:left="0" w:firstLine="0" w:firstLineChars="0"/>
        <w:jc w:val="left"/>
        <w:rPr>
          <w:b/>
          <w:bCs/>
          <w:sz w:val="18"/>
          <w:szCs w:val="20"/>
        </w:rPr>
      </w:pPr>
      <w:r>
        <w:rPr>
          <w:rFonts w:hint="eastAsia"/>
          <w:b/>
          <w:bCs/>
          <w:sz w:val="18"/>
          <w:szCs w:val="20"/>
        </w:rPr>
        <w:t>甲方可在任何时候将乙方所申请办理的信用卡中所产生的全部或部分债权转让给第三方，无须另行征得乙方同意，乙方对此表示认可。甲方有权接受债权受让方委托作为信贷资产管理人按照本合约的约定进行相关贷后管理工作。在实际发生债权转让时，甲方将通过包括但不限于公告、短信、邮寄送达等其中一种或多种方式通知乙方。</w:t>
      </w:r>
    </w:p>
    <w:p w14:paraId="00BCF4F8">
      <w:pPr>
        <w:pStyle w:val="36"/>
        <w:numPr>
          <w:ilvl w:val="0"/>
          <w:numId w:val="2"/>
        </w:numPr>
        <w:ind w:left="0" w:firstLine="0" w:firstLineChars="0"/>
        <w:jc w:val="left"/>
        <w:rPr>
          <w:sz w:val="18"/>
          <w:szCs w:val="20"/>
        </w:rPr>
      </w:pPr>
      <w:r>
        <w:rPr>
          <w:rFonts w:hint="eastAsia"/>
          <w:sz w:val="18"/>
          <w:szCs w:val="20"/>
        </w:rPr>
        <w:t>本合约适用中华人民共和国法律、法规和中国人民银行、</w:t>
      </w:r>
      <w:r>
        <w:rPr>
          <w:rFonts w:hint="eastAsia"/>
          <w:sz w:val="18"/>
          <w:szCs w:val="20"/>
          <w:lang w:val="en-US" w:eastAsia="zh-CN"/>
        </w:rPr>
        <w:t>国家金融监督管理总局</w:t>
      </w:r>
      <w:r>
        <w:rPr>
          <w:rFonts w:hint="eastAsia"/>
          <w:sz w:val="18"/>
          <w:szCs w:val="20"/>
        </w:rPr>
        <w:t>等监管部门的有关规定，未尽事宜依据甲方《承德银行个人信用卡章程》、业务规定及金融行业惯例办理。</w:t>
      </w:r>
    </w:p>
    <w:p w14:paraId="7F704DC4">
      <w:pPr>
        <w:pStyle w:val="36"/>
        <w:numPr>
          <w:ilvl w:val="0"/>
          <w:numId w:val="2"/>
        </w:numPr>
        <w:ind w:left="0" w:firstLine="0" w:firstLineChars="0"/>
        <w:jc w:val="left"/>
        <w:rPr>
          <w:szCs w:val="21"/>
        </w:rPr>
      </w:pPr>
      <w:r>
        <w:rPr>
          <w:rFonts w:hint="eastAsia"/>
          <w:b/>
          <w:sz w:val="18"/>
          <w:szCs w:val="16"/>
        </w:rPr>
        <w:t>本协议由甲方负责制定、修改和释明。甲方可根据国家法律法规、监管规定修改本协议，并根据业务实际情况选择通过包括但不限于甲方营业网点公告、甲方网站公告、对账单告知、短信通知或语音电话等一种或多种方式通知乙方变更事项（包括但不限于本协议内容及计费项目或标准、信用卡有关利率的调整等），该等变更自公告中载明的生效日期开始生效，未载明生效日期的一经发布立即生效。</w:t>
      </w:r>
    </w:p>
    <w:p w14:paraId="3AC49FBC">
      <w:pPr>
        <w:pStyle w:val="36"/>
        <w:numPr>
          <w:ilvl w:val="0"/>
          <w:numId w:val="0"/>
        </w:numPr>
        <w:ind w:leftChars="0"/>
        <w:jc w:val="left"/>
        <w:rPr>
          <w:szCs w:val="21"/>
        </w:rPr>
      </w:pPr>
    </w:p>
    <w:p w14:paraId="7DE7078C">
      <w:pPr>
        <w:widowControl/>
        <w:shd w:val="clear" w:color="auto" w:fill="FFFFFF"/>
        <w:jc w:val="left"/>
        <w:rPr>
          <w:rFonts w:ascii="宋体" w:hAnsi="宋体" w:cs="宋体"/>
          <w:color w:val="333333"/>
          <w:kern w:val="0"/>
          <w:sz w:val="18"/>
          <w:szCs w:val="18"/>
        </w:rPr>
      </w:pPr>
    </w:p>
    <w:p w14:paraId="06DFE7C6">
      <w:pPr>
        <w:widowControl/>
        <w:shd w:val="clear" w:color="auto" w:fill="FFFFFF"/>
        <w:jc w:val="center"/>
        <w:rPr>
          <w:rFonts w:hint="eastAsia" w:asciiTheme="minorEastAsia" w:hAnsiTheme="minorEastAsia" w:eastAsiaTheme="minorEastAsia" w:cstheme="minorEastAsia"/>
          <w:b/>
          <w:bCs/>
          <w:color w:val="333333"/>
          <w:kern w:val="0"/>
          <w:sz w:val="18"/>
          <w:szCs w:val="18"/>
        </w:rPr>
      </w:pPr>
      <w:r>
        <w:rPr>
          <w:rFonts w:hint="eastAsia" w:asciiTheme="minorEastAsia" w:hAnsiTheme="minorEastAsia" w:eastAsiaTheme="minorEastAsia" w:cstheme="minorEastAsia"/>
          <w:b/>
          <w:bCs/>
          <w:color w:val="333333"/>
          <w:kern w:val="0"/>
          <w:sz w:val="18"/>
          <w:szCs w:val="18"/>
        </w:rPr>
        <w:t>承德银行信用卡收费标准</w:t>
      </w:r>
    </w:p>
    <w:tbl>
      <w:tblPr>
        <w:tblStyle w:val="17"/>
        <w:tblW w:w="825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006"/>
        <w:gridCol w:w="4253"/>
      </w:tblGrid>
      <w:tr w14:paraId="44C8B3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tcPr>
          <w:p w14:paraId="52574121">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费用类型</w:t>
            </w:r>
          </w:p>
        </w:tc>
        <w:tc>
          <w:tcPr>
            <w:tcW w:w="4253" w:type="dxa"/>
            <w:tcBorders>
              <w:top w:val="outset" w:color="auto" w:sz="6" w:space="0"/>
              <w:left w:val="outset" w:color="auto" w:sz="6" w:space="0"/>
              <w:bottom w:val="outset" w:color="auto" w:sz="6" w:space="0"/>
              <w:right w:val="outset" w:color="auto" w:sz="6" w:space="0"/>
            </w:tcBorders>
          </w:tcPr>
          <w:p w14:paraId="66E8FA77">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收费标准</w:t>
            </w:r>
          </w:p>
        </w:tc>
      </w:tr>
      <w:tr w14:paraId="0F45BD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vMerge w:val="restart"/>
            <w:tcBorders>
              <w:top w:val="outset" w:color="auto" w:sz="6" w:space="0"/>
              <w:left w:val="outset" w:color="auto" w:sz="6" w:space="0"/>
              <w:right w:val="outset" w:color="auto" w:sz="6" w:space="0"/>
            </w:tcBorders>
            <w:vAlign w:val="center"/>
          </w:tcPr>
          <w:p w14:paraId="2B2F3C80">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年费</w:t>
            </w:r>
          </w:p>
        </w:tc>
        <w:tc>
          <w:tcPr>
            <w:tcW w:w="4253" w:type="dxa"/>
            <w:tcBorders>
              <w:top w:val="outset" w:color="auto" w:sz="6" w:space="0"/>
              <w:left w:val="outset" w:color="auto" w:sz="6" w:space="0"/>
              <w:bottom w:val="outset" w:color="auto" w:sz="6" w:space="0"/>
              <w:right w:val="outset" w:color="auto" w:sz="6" w:space="0"/>
            </w:tcBorders>
          </w:tcPr>
          <w:p w14:paraId="4385BE45">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白金卡主卡：人民币800元/年；白金卡附属卡：人民币400元/年；暂免收取</w:t>
            </w:r>
          </w:p>
        </w:tc>
      </w:tr>
      <w:tr w14:paraId="64C718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vMerge w:val="continue"/>
            <w:tcBorders>
              <w:left w:val="outset" w:color="auto" w:sz="6" w:space="0"/>
              <w:right w:val="outset" w:color="auto" w:sz="6" w:space="0"/>
            </w:tcBorders>
            <w:vAlign w:val="center"/>
          </w:tcPr>
          <w:p w14:paraId="763BBCBE">
            <w:pPr>
              <w:widowControl/>
              <w:jc w:val="left"/>
              <w:rPr>
                <w:rFonts w:hint="eastAsia" w:asciiTheme="minorEastAsia" w:hAnsiTheme="minorEastAsia" w:eastAsiaTheme="minorEastAsia" w:cstheme="minorEastAsia"/>
                <w:kern w:val="0"/>
                <w:sz w:val="18"/>
                <w:szCs w:val="18"/>
              </w:rPr>
            </w:pPr>
          </w:p>
        </w:tc>
        <w:tc>
          <w:tcPr>
            <w:tcW w:w="4253" w:type="dxa"/>
            <w:tcBorders>
              <w:top w:val="outset" w:color="auto" w:sz="6" w:space="0"/>
              <w:left w:val="outset" w:color="auto" w:sz="6" w:space="0"/>
              <w:bottom w:val="outset" w:color="auto" w:sz="6" w:space="0"/>
              <w:right w:val="outset" w:color="auto" w:sz="6" w:space="0"/>
            </w:tcBorders>
          </w:tcPr>
          <w:p w14:paraId="6DB7D3CB">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金卡主卡：人民币160元/年；金卡附属卡：人民币80元/年；</w:t>
            </w:r>
          </w:p>
        </w:tc>
      </w:tr>
      <w:tr w14:paraId="2BCCF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4006" w:type="dxa"/>
            <w:vMerge w:val="continue"/>
            <w:tcBorders>
              <w:left w:val="outset" w:color="auto" w:sz="6" w:space="0"/>
              <w:bottom w:val="outset" w:color="auto" w:sz="6" w:space="0"/>
              <w:right w:val="outset" w:color="auto" w:sz="6" w:space="0"/>
            </w:tcBorders>
            <w:vAlign w:val="center"/>
          </w:tcPr>
          <w:p w14:paraId="7BB7524C">
            <w:pPr>
              <w:widowControl/>
              <w:jc w:val="left"/>
              <w:rPr>
                <w:rFonts w:hint="eastAsia" w:asciiTheme="minorEastAsia" w:hAnsiTheme="minorEastAsia" w:eastAsiaTheme="minorEastAsia" w:cstheme="minorEastAsia"/>
                <w:kern w:val="0"/>
                <w:sz w:val="18"/>
                <w:szCs w:val="18"/>
              </w:rPr>
            </w:pPr>
          </w:p>
        </w:tc>
        <w:tc>
          <w:tcPr>
            <w:tcW w:w="4253" w:type="dxa"/>
            <w:tcBorders>
              <w:top w:val="outset" w:color="auto" w:sz="6" w:space="0"/>
              <w:left w:val="outset" w:color="auto" w:sz="6" w:space="0"/>
              <w:bottom w:val="outset" w:color="auto" w:sz="6" w:space="0"/>
              <w:right w:val="outset" w:color="auto" w:sz="6" w:space="0"/>
            </w:tcBorders>
          </w:tcPr>
          <w:p w14:paraId="768CC8AF">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普卡主卡：人民币80元/年；普卡附属卡：人民币40元/年</w:t>
            </w:r>
          </w:p>
        </w:tc>
      </w:tr>
      <w:tr w14:paraId="4D25C3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52ED3A2F">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工本费</w:t>
            </w:r>
          </w:p>
        </w:tc>
        <w:tc>
          <w:tcPr>
            <w:tcW w:w="4253" w:type="dxa"/>
            <w:tcBorders>
              <w:top w:val="outset" w:color="auto" w:sz="6" w:space="0"/>
              <w:left w:val="outset" w:color="auto" w:sz="6" w:space="0"/>
              <w:bottom w:val="outset" w:color="auto" w:sz="6" w:space="0"/>
              <w:right w:val="outset" w:color="auto" w:sz="6" w:space="0"/>
            </w:tcBorders>
          </w:tcPr>
          <w:p w14:paraId="543AD81D">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1.芯片卡：非特殊设计芯片卡，每卡5元，暂免收取</w:t>
            </w:r>
          </w:p>
          <w:p w14:paraId="4CA5E5BC">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2.特殊设计卡片（包括但不限于磁条卡及芯片卡）：</w:t>
            </w:r>
          </w:p>
          <w:p w14:paraId="266B56E2">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根据协议约定收取</w:t>
            </w:r>
          </w:p>
        </w:tc>
      </w:tr>
      <w:tr w14:paraId="3073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027EBC22">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循环信用利率（透支利率）</w:t>
            </w:r>
          </w:p>
        </w:tc>
        <w:tc>
          <w:tcPr>
            <w:tcW w:w="4253" w:type="dxa"/>
            <w:tcBorders>
              <w:top w:val="outset" w:color="auto" w:sz="6" w:space="0"/>
              <w:left w:val="outset" w:color="auto" w:sz="6" w:space="0"/>
              <w:bottom w:val="outset" w:color="auto" w:sz="6" w:space="0"/>
              <w:right w:val="outset" w:color="auto" w:sz="6" w:space="0"/>
            </w:tcBorders>
          </w:tcPr>
          <w:p w14:paraId="63CF2528">
            <w:pPr>
              <w:pStyle w:val="2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日利率0.05%（即年</w:t>
            </w:r>
            <w:r>
              <w:rPr>
                <w:rFonts w:hint="eastAsia" w:asciiTheme="minorEastAsia" w:hAnsiTheme="minorEastAsia" w:eastAsiaTheme="minorEastAsia" w:cstheme="minorEastAsia"/>
                <w:sz w:val="18"/>
                <w:szCs w:val="18"/>
                <w:highlight w:val="none"/>
              </w:rPr>
              <w:t>利率18%）</w:t>
            </w:r>
            <w:r>
              <w:rPr>
                <w:rFonts w:hint="eastAsia" w:asciiTheme="minorEastAsia" w:hAnsiTheme="minorEastAsia" w:eastAsiaTheme="minorEastAsia" w:cstheme="minorEastAsia"/>
                <w:sz w:val="18"/>
                <w:szCs w:val="18"/>
              </w:rPr>
              <w:t>，按月计收复利</w:t>
            </w:r>
          </w:p>
          <w:p w14:paraId="0CF0653C">
            <w:pPr>
              <w:pStyle w:val="2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【计算公式：年利率=日利率*36</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，受大小月天数不同及持卡人还款情况不同等因素的影响，实际年化利率与上述年化利率可能存在差异】</w:t>
            </w:r>
          </w:p>
          <w:p w14:paraId="762BDDF8">
            <w:pPr>
              <w:widowControl/>
              <w:jc w:val="left"/>
              <w:rPr>
                <w:rFonts w:hint="eastAsia" w:asciiTheme="minorEastAsia" w:hAnsiTheme="minorEastAsia" w:eastAsiaTheme="minorEastAsia" w:cstheme="minorEastAsia"/>
                <w:kern w:val="0"/>
                <w:sz w:val="18"/>
                <w:szCs w:val="18"/>
              </w:rPr>
            </w:pPr>
          </w:p>
        </w:tc>
      </w:tr>
      <w:tr w14:paraId="63A41B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5BE59DB2">
            <w:pPr>
              <w:widowControl/>
              <w:jc w:val="left"/>
              <w:rPr>
                <w:rFonts w:cs="宋体" w:asciiTheme="minorEastAsia" w:hAnsiTheme="minorEastAsia"/>
                <w:kern w:val="0"/>
                <w:sz w:val="18"/>
                <w:szCs w:val="18"/>
              </w:rPr>
            </w:pPr>
            <w:r>
              <w:rPr>
                <w:rFonts w:cs="宋体" w:asciiTheme="minorEastAsia" w:hAnsiTheme="minorEastAsia"/>
                <w:kern w:val="0"/>
                <w:sz w:val="18"/>
                <w:szCs w:val="18"/>
              </w:rPr>
              <w:t>预借现金手续费</w:t>
            </w:r>
          </w:p>
        </w:tc>
        <w:tc>
          <w:tcPr>
            <w:tcW w:w="4253" w:type="dxa"/>
            <w:tcBorders>
              <w:top w:val="outset" w:color="auto" w:sz="6" w:space="0"/>
              <w:left w:val="outset" w:color="auto" w:sz="6" w:space="0"/>
              <w:bottom w:val="outset" w:color="auto" w:sz="6" w:space="0"/>
              <w:right w:val="outset" w:color="auto" w:sz="6" w:space="0"/>
            </w:tcBorders>
          </w:tcPr>
          <w:p w14:paraId="7A571F30">
            <w:pPr>
              <w:widowControl/>
              <w:jc w:val="left"/>
              <w:rPr>
                <w:rFonts w:cs="宋体" w:asciiTheme="minorEastAsia" w:hAnsiTheme="minorEastAsia"/>
                <w:kern w:val="0"/>
                <w:sz w:val="18"/>
                <w:szCs w:val="18"/>
              </w:rPr>
            </w:pPr>
            <w:r>
              <w:rPr>
                <w:rFonts w:hint="eastAsia" w:cs="宋体" w:asciiTheme="minorEastAsia" w:hAnsiTheme="minorEastAsia" w:eastAsiaTheme="minorEastAsia"/>
                <w:kern w:val="0"/>
                <w:sz w:val="18"/>
                <w:szCs w:val="18"/>
              </w:rPr>
              <w:t>境内：按取现金额的1%/笔收取，最低10元/笔</w:t>
            </w:r>
          </w:p>
          <w:p w14:paraId="476CBD24">
            <w:pPr>
              <w:widowControl/>
              <w:jc w:val="left"/>
              <w:rPr>
                <w:rFonts w:cs="宋体" w:asciiTheme="minorEastAsia" w:hAnsiTheme="minorEastAsia"/>
                <w:kern w:val="0"/>
                <w:sz w:val="18"/>
                <w:szCs w:val="18"/>
              </w:rPr>
            </w:pPr>
            <w:r>
              <w:rPr>
                <w:rFonts w:hint="eastAsia" w:cs="宋体" w:asciiTheme="minorEastAsia" w:hAnsiTheme="minorEastAsia" w:eastAsiaTheme="minorEastAsia"/>
                <w:kern w:val="0"/>
                <w:sz w:val="18"/>
                <w:szCs w:val="18"/>
              </w:rPr>
              <w:t>境外：按取现金额的3%/笔收取，最低30元/笔</w:t>
            </w:r>
          </w:p>
        </w:tc>
      </w:tr>
      <w:tr w14:paraId="09461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217ACE16">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违约金</w:t>
            </w:r>
          </w:p>
        </w:tc>
        <w:tc>
          <w:tcPr>
            <w:tcW w:w="4253" w:type="dxa"/>
            <w:tcBorders>
              <w:top w:val="outset" w:color="auto" w:sz="6" w:space="0"/>
              <w:left w:val="outset" w:color="auto" w:sz="6" w:space="0"/>
              <w:bottom w:val="outset" w:color="auto" w:sz="6" w:space="0"/>
              <w:right w:val="outset" w:color="auto" w:sz="6" w:space="0"/>
            </w:tcBorders>
          </w:tcPr>
          <w:p w14:paraId="6AB95346">
            <w:pPr>
              <w:pStyle w:val="24"/>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最低还款额未还部分的5%，最低人民币10元</w:t>
            </w:r>
          </w:p>
          <w:p w14:paraId="0774C8AD">
            <w:pPr>
              <w:pStyle w:val="24"/>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该“违约金”指因持卡人未在到期还款日（含）前偿还最低还款额而收取的费用。</w:t>
            </w:r>
          </w:p>
        </w:tc>
      </w:tr>
      <w:tr w14:paraId="075A68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0EA0F9E1">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挂失手续费</w:t>
            </w:r>
          </w:p>
        </w:tc>
        <w:tc>
          <w:tcPr>
            <w:tcW w:w="4253" w:type="dxa"/>
            <w:tcBorders>
              <w:top w:val="outset" w:color="auto" w:sz="6" w:space="0"/>
              <w:left w:val="outset" w:color="auto" w:sz="6" w:space="0"/>
              <w:bottom w:val="outset" w:color="auto" w:sz="6" w:space="0"/>
              <w:right w:val="outset" w:color="auto" w:sz="6" w:space="0"/>
            </w:tcBorders>
          </w:tcPr>
          <w:p w14:paraId="01EB670B">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人民币15元/卡，补卡免费</w:t>
            </w:r>
          </w:p>
        </w:tc>
      </w:tr>
      <w:tr w14:paraId="628429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2F919274">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损坏换卡手续费</w:t>
            </w:r>
          </w:p>
        </w:tc>
        <w:tc>
          <w:tcPr>
            <w:tcW w:w="4253" w:type="dxa"/>
            <w:tcBorders>
              <w:top w:val="outset" w:color="auto" w:sz="6" w:space="0"/>
              <w:left w:val="outset" w:color="auto" w:sz="6" w:space="0"/>
              <w:bottom w:val="outset" w:color="auto" w:sz="6" w:space="0"/>
              <w:right w:val="outset" w:color="auto" w:sz="6" w:space="0"/>
            </w:tcBorders>
          </w:tcPr>
          <w:p w14:paraId="5D0B70F2">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免费</w:t>
            </w:r>
          </w:p>
        </w:tc>
      </w:tr>
      <w:tr w14:paraId="35172C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4229BC72">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溢缴款领回手续费</w:t>
            </w:r>
          </w:p>
        </w:tc>
        <w:tc>
          <w:tcPr>
            <w:tcW w:w="4253" w:type="dxa"/>
            <w:tcBorders>
              <w:top w:val="outset" w:color="auto" w:sz="6" w:space="0"/>
              <w:left w:val="outset" w:color="auto" w:sz="6" w:space="0"/>
              <w:bottom w:val="outset" w:color="auto" w:sz="6" w:space="0"/>
              <w:right w:val="outset" w:color="auto" w:sz="6" w:space="0"/>
            </w:tcBorders>
          </w:tcPr>
          <w:p w14:paraId="4D5BC7E3">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1.溢缴款通过本行渠道领回：免手续费;</w:t>
            </w:r>
          </w:p>
          <w:p w14:paraId="785167E4">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2.溢缴款通过他行渠道领回：按跨行取款费用执行</w:t>
            </w:r>
          </w:p>
        </w:tc>
      </w:tr>
      <w:tr w14:paraId="190686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006" w:type="dxa"/>
            <w:tcBorders>
              <w:top w:val="outset" w:color="auto" w:sz="6" w:space="0"/>
              <w:left w:val="outset" w:color="auto" w:sz="6" w:space="0"/>
              <w:bottom w:val="outset" w:color="auto" w:sz="6" w:space="0"/>
              <w:right w:val="outset" w:color="auto" w:sz="6" w:space="0"/>
            </w:tcBorders>
            <w:vAlign w:val="center"/>
          </w:tcPr>
          <w:p w14:paraId="455F9C21">
            <w:pPr>
              <w:widowControl/>
              <w:jc w:val="left"/>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分期业务</w:t>
            </w:r>
          </w:p>
        </w:tc>
        <w:tc>
          <w:tcPr>
            <w:tcW w:w="4253" w:type="dxa"/>
            <w:tcBorders>
              <w:top w:val="outset" w:color="auto" w:sz="6" w:space="0"/>
              <w:left w:val="outset" w:color="auto" w:sz="6" w:space="0"/>
              <w:bottom w:val="outset" w:color="auto" w:sz="6" w:space="0"/>
              <w:right w:val="outset" w:color="auto" w:sz="6" w:space="0"/>
            </w:tcBorders>
          </w:tcPr>
          <w:p w14:paraId="1EAB68CB">
            <w:pPr>
              <w:pStyle w:val="24"/>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1.分期业务折算年化利率为</w:t>
            </w:r>
            <w:r>
              <w:rPr>
                <w:rFonts w:hint="eastAsia" w:cs="宋体" w:asciiTheme="minorEastAsia" w:hAnsiTheme="minorEastAsia" w:eastAsiaTheme="minorEastAsia"/>
                <w:color w:val="auto"/>
                <w:kern w:val="0"/>
                <w:sz w:val="18"/>
                <w:szCs w:val="18"/>
                <w:highlight w:val="none"/>
                <w:lang w:val="en-US" w:eastAsia="zh-CN" w:bidi="ar-SA"/>
              </w:rPr>
              <w:t>0%-18%（</w:t>
            </w:r>
            <w:r>
              <w:rPr>
                <w:rFonts w:hint="eastAsia" w:cs="宋体" w:asciiTheme="minorEastAsia" w:hAnsiTheme="minorEastAsia" w:eastAsiaTheme="minorEastAsia"/>
                <w:color w:val="auto"/>
                <w:kern w:val="0"/>
                <w:sz w:val="18"/>
                <w:szCs w:val="18"/>
                <w:lang w:val="en-US" w:eastAsia="zh-CN" w:bidi="ar-SA"/>
              </w:rPr>
              <w:t>该利率是根据持卡人办理分期时的现金流和期数计算的年化内含报酬率。因选择办理的分期产品与账单日间隔、每月实际天数等不同情况而有所差异）。</w:t>
            </w:r>
          </w:p>
          <w:p w14:paraId="4233BB7C">
            <w:pPr>
              <w:pStyle w:val="24"/>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2.不同业务类型及期数利率标准不同，分期利率以办理业务时与客户约定为准。</w:t>
            </w:r>
          </w:p>
          <w:p w14:paraId="407B51C9">
            <w:pPr>
              <w:pStyle w:val="24"/>
              <w:rPr>
                <w:rFonts w:hint="default"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val="en-US" w:eastAsia="zh-CN" w:bidi="ar-SA"/>
              </w:rPr>
              <w:t>3.提前结清违约金：按未尝本金的3%或按协议定价收取。</w:t>
            </w:r>
          </w:p>
          <w:p w14:paraId="47F5F3EB">
            <w:pPr>
              <w:widowControl/>
              <w:jc w:val="left"/>
              <w:rPr>
                <w:rFonts w:hint="eastAsia" w:cs="宋体" w:asciiTheme="minorEastAsia" w:hAnsiTheme="minorEastAsia" w:eastAsiaTheme="minorEastAsia"/>
                <w:color w:val="auto"/>
                <w:kern w:val="0"/>
                <w:sz w:val="18"/>
                <w:szCs w:val="18"/>
                <w:lang w:val="en-US" w:eastAsia="zh-CN" w:bidi="ar-SA"/>
              </w:rPr>
            </w:pPr>
          </w:p>
        </w:tc>
      </w:tr>
      <w:tr w14:paraId="3E5B6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9" w:type="dxa"/>
            <w:gridSpan w:val="2"/>
            <w:tcBorders>
              <w:top w:val="outset" w:color="auto" w:sz="6" w:space="0"/>
              <w:left w:val="outset" w:color="auto" w:sz="6" w:space="0"/>
              <w:bottom w:val="outset" w:color="auto" w:sz="6" w:space="0"/>
              <w:right w:val="outset" w:color="auto" w:sz="6" w:space="0"/>
            </w:tcBorders>
            <w:vAlign w:val="center"/>
          </w:tcPr>
          <w:p w14:paraId="6D45666F">
            <w:pPr>
              <w:pStyle w:val="24"/>
              <w:rPr>
                <w:rFonts w:asciiTheme="minorEastAsia" w:hAnsiTheme="minorEastAsia" w:eastAsiaTheme="minorEastAsia"/>
                <w:sz w:val="18"/>
                <w:szCs w:val="18"/>
              </w:rPr>
            </w:pPr>
            <w:r>
              <w:rPr>
                <w:rFonts w:hint="eastAsia" w:asciiTheme="minorEastAsia" w:hAnsiTheme="minorEastAsia" w:eastAsiaTheme="minorEastAsia"/>
                <w:sz w:val="18"/>
                <w:szCs w:val="18"/>
              </w:rPr>
              <w:t>说明：</w:t>
            </w:r>
            <w:r>
              <w:rPr>
                <w:rFonts w:asciiTheme="minorEastAsia" w:hAnsiTheme="minorEastAsia" w:eastAsiaTheme="minorEastAsia"/>
                <w:sz w:val="18"/>
                <w:szCs w:val="18"/>
              </w:rPr>
              <w:t xml:space="preserve"> </w:t>
            </w:r>
          </w:p>
          <w:p w14:paraId="5084323D">
            <w:pPr>
              <w:pStyle w:val="24"/>
              <w:rPr>
                <w:rFonts w:hint="eastAsia" w:asciiTheme="minorEastAsia" w:hAnsiTheme="minorEastAsia" w:eastAsiaTheme="minorEastAsia" w:cs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hint="eastAsia" w:asciiTheme="minorEastAsia" w:hAnsiTheme="minorEastAsia" w:eastAsiaTheme="minorEastAsia" w:cstheme="minorEastAsia"/>
                <w:sz w:val="18"/>
                <w:szCs w:val="18"/>
              </w:rPr>
              <w:t xml:space="preserve">其他性质违约金、其他特定产品或增值服务使用费收费标准详见各信用卡领用合约、业务协议和规则或增值服务细则等。 </w:t>
            </w:r>
          </w:p>
          <w:p w14:paraId="7797A286">
            <w:pPr>
              <w:widowControl/>
              <w:jc w:val="left"/>
              <w:rPr>
                <w:rFonts w:cs="宋体" w:asciiTheme="minorEastAsia" w:hAnsiTheme="minorEastAsia"/>
                <w:kern w:val="0"/>
                <w:sz w:val="18"/>
                <w:szCs w:val="18"/>
              </w:rPr>
            </w:pPr>
            <w:r>
              <w:rPr>
                <w:rFonts w:hint="eastAsia" w:asciiTheme="minorEastAsia" w:hAnsiTheme="minorEastAsia" w:eastAsiaTheme="minorEastAsia" w:cstheme="minorEastAsia"/>
                <w:kern w:val="0"/>
                <w:sz w:val="18"/>
                <w:szCs w:val="18"/>
              </w:rPr>
              <w:t>2、上述收费标准如有新增或变动，以本行官网发布的公告或官网公示的《承德银行信用卡收费标准》为准。</w:t>
            </w:r>
            <w:r>
              <w:rPr>
                <w:rFonts w:hint="eastAsia" w:asciiTheme="minorEastAsia" w:hAnsiTheme="minorEastAsia" w:eastAsiaTheme="minorEastAsia" w:cstheme="minorEastAsia"/>
                <w:sz w:val="18"/>
                <w:szCs w:val="18"/>
              </w:rPr>
              <w:t xml:space="preserve"> </w:t>
            </w:r>
          </w:p>
        </w:tc>
      </w:tr>
    </w:tbl>
    <w:p w14:paraId="7F363129">
      <w:pPr>
        <w:rPr>
          <w:rFonts w:ascii="微软雅黑" w:hAnsi="微软雅黑" w:eastAsia="微软雅黑"/>
          <w:color w:val="FF0000"/>
        </w:rPr>
      </w:pPr>
    </w:p>
    <w:p w14:paraId="305FE21A"/>
    <w:sectPr>
      <w:pgSz w:w="11906" w:h="16838"/>
      <w:pgMar w:top="720" w:right="1797" w:bottom="72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869D9"/>
    <w:multiLevelType w:val="multilevel"/>
    <w:tmpl w:val="1F8869D9"/>
    <w:lvl w:ilvl="0" w:tentative="0">
      <w:start w:val="1"/>
      <w:numFmt w:val="chineseCountingThousand"/>
      <w:lvlText w:val="第%1条"/>
      <w:lvlJc w:val="left"/>
      <w:pPr>
        <w:ind w:left="562" w:hanging="420"/>
      </w:pPr>
      <w:rPr>
        <w:rFonts w:hint="eastAsia"/>
        <w:b w:val="0"/>
        <w:bCs w:val="0"/>
        <w:sz w:val="18"/>
        <w:szCs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9747F4C"/>
    <w:multiLevelType w:val="singleLevel"/>
    <w:tmpl w:val="29747F4C"/>
    <w:lvl w:ilvl="0" w:tentative="0">
      <w:start w:val="6"/>
      <w:numFmt w:val="chineseCounting"/>
      <w:suff w:val="space"/>
      <w:lvlText w:val="第%1部分"/>
      <w:lvlJc w:val="left"/>
      <w:rPr>
        <w:rFonts w:hint="eastAsia"/>
      </w:rPr>
    </w:lvl>
  </w:abstractNum>
  <w:abstractNum w:abstractNumId="2">
    <w:nsid w:val="74C5073E"/>
    <w:multiLevelType w:val="multilevel"/>
    <w:tmpl w:val="74C5073E"/>
    <w:lvl w:ilvl="0" w:tentative="0">
      <w:start w:val="1"/>
      <w:numFmt w:val="upperRoman"/>
      <w:pStyle w:val="2"/>
      <w:lvlText w:val="第 %1 条"/>
      <w:lvlJc w:val="left"/>
      <w:pPr>
        <w:ind w:left="0" w:firstLine="0"/>
      </w:p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qlkgCBIV9JXlASAAL0ZemSiMPgg=" w:salt="l0Vs0uTc8ZJDMrfrWGMBi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96"/>
    <w:rsid w:val="000053E2"/>
    <w:rsid w:val="00013613"/>
    <w:rsid w:val="00021FC7"/>
    <w:rsid w:val="000325E0"/>
    <w:rsid w:val="00036D99"/>
    <w:rsid w:val="00047261"/>
    <w:rsid w:val="00082D98"/>
    <w:rsid w:val="000A5148"/>
    <w:rsid w:val="000B2E1D"/>
    <w:rsid w:val="000B6507"/>
    <w:rsid w:val="001214E4"/>
    <w:rsid w:val="001D6BE3"/>
    <w:rsid w:val="001D78A3"/>
    <w:rsid w:val="001F28AA"/>
    <w:rsid w:val="00237431"/>
    <w:rsid w:val="002737D2"/>
    <w:rsid w:val="002871C5"/>
    <w:rsid w:val="00290479"/>
    <w:rsid w:val="002E0E8A"/>
    <w:rsid w:val="002E1E35"/>
    <w:rsid w:val="002E4FC0"/>
    <w:rsid w:val="002F3364"/>
    <w:rsid w:val="00321AD8"/>
    <w:rsid w:val="003306A0"/>
    <w:rsid w:val="003334BA"/>
    <w:rsid w:val="00391572"/>
    <w:rsid w:val="003A3259"/>
    <w:rsid w:val="003A6D8B"/>
    <w:rsid w:val="003B6B3F"/>
    <w:rsid w:val="003D71EC"/>
    <w:rsid w:val="003E57C3"/>
    <w:rsid w:val="003E7DD7"/>
    <w:rsid w:val="00414CC3"/>
    <w:rsid w:val="0043744C"/>
    <w:rsid w:val="00481617"/>
    <w:rsid w:val="0049267F"/>
    <w:rsid w:val="004F620D"/>
    <w:rsid w:val="00503F6B"/>
    <w:rsid w:val="00562D25"/>
    <w:rsid w:val="0056446A"/>
    <w:rsid w:val="0057691E"/>
    <w:rsid w:val="00580392"/>
    <w:rsid w:val="00597A20"/>
    <w:rsid w:val="005C1077"/>
    <w:rsid w:val="005C4985"/>
    <w:rsid w:val="005D1DF6"/>
    <w:rsid w:val="0060457A"/>
    <w:rsid w:val="006224FA"/>
    <w:rsid w:val="0062598F"/>
    <w:rsid w:val="006F17DC"/>
    <w:rsid w:val="007164E5"/>
    <w:rsid w:val="0074217F"/>
    <w:rsid w:val="007734E7"/>
    <w:rsid w:val="0077549D"/>
    <w:rsid w:val="00787B7F"/>
    <w:rsid w:val="007A5A29"/>
    <w:rsid w:val="007E418F"/>
    <w:rsid w:val="007E6EE8"/>
    <w:rsid w:val="007F115B"/>
    <w:rsid w:val="008205F4"/>
    <w:rsid w:val="008372CB"/>
    <w:rsid w:val="008610EB"/>
    <w:rsid w:val="008710BE"/>
    <w:rsid w:val="00891035"/>
    <w:rsid w:val="008C0365"/>
    <w:rsid w:val="008C0396"/>
    <w:rsid w:val="008D4F51"/>
    <w:rsid w:val="008F3E9F"/>
    <w:rsid w:val="009143DA"/>
    <w:rsid w:val="00930B39"/>
    <w:rsid w:val="00934A7D"/>
    <w:rsid w:val="00984823"/>
    <w:rsid w:val="009923DF"/>
    <w:rsid w:val="009B599E"/>
    <w:rsid w:val="009C2580"/>
    <w:rsid w:val="009F3D0B"/>
    <w:rsid w:val="00A11605"/>
    <w:rsid w:val="00A303FB"/>
    <w:rsid w:val="00A3433E"/>
    <w:rsid w:val="00A565EE"/>
    <w:rsid w:val="00A57C9E"/>
    <w:rsid w:val="00A719C8"/>
    <w:rsid w:val="00A90909"/>
    <w:rsid w:val="00AC4864"/>
    <w:rsid w:val="00AD6A57"/>
    <w:rsid w:val="00AE6F1D"/>
    <w:rsid w:val="00B239DE"/>
    <w:rsid w:val="00B25C2C"/>
    <w:rsid w:val="00B43D91"/>
    <w:rsid w:val="00BC3CA4"/>
    <w:rsid w:val="00C02CCD"/>
    <w:rsid w:val="00C02FAC"/>
    <w:rsid w:val="00C17B5D"/>
    <w:rsid w:val="00C41C7A"/>
    <w:rsid w:val="00C76A5E"/>
    <w:rsid w:val="00CA348B"/>
    <w:rsid w:val="00CD3EE3"/>
    <w:rsid w:val="00CE1864"/>
    <w:rsid w:val="00D06CC1"/>
    <w:rsid w:val="00D726C4"/>
    <w:rsid w:val="00D976A9"/>
    <w:rsid w:val="00DA2D12"/>
    <w:rsid w:val="00DB1D24"/>
    <w:rsid w:val="00DB489A"/>
    <w:rsid w:val="00DF5DB5"/>
    <w:rsid w:val="00E03DBD"/>
    <w:rsid w:val="00E20B23"/>
    <w:rsid w:val="00E44967"/>
    <w:rsid w:val="00E50483"/>
    <w:rsid w:val="00EB0717"/>
    <w:rsid w:val="00EB3DB5"/>
    <w:rsid w:val="00EE7746"/>
    <w:rsid w:val="00F1502F"/>
    <w:rsid w:val="00F350F5"/>
    <w:rsid w:val="00F44E78"/>
    <w:rsid w:val="00F7778D"/>
    <w:rsid w:val="00F933D4"/>
    <w:rsid w:val="00F9551F"/>
    <w:rsid w:val="00F97184"/>
    <w:rsid w:val="00FD646E"/>
    <w:rsid w:val="01A52391"/>
    <w:rsid w:val="01C941A7"/>
    <w:rsid w:val="01DA5FFB"/>
    <w:rsid w:val="01FE397A"/>
    <w:rsid w:val="020C6528"/>
    <w:rsid w:val="03626AE4"/>
    <w:rsid w:val="067D2724"/>
    <w:rsid w:val="06C13FF2"/>
    <w:rsid w:val="074C33D0"/>
    <w:rsid w:val="07FA0104"/>
    <w:rsid w:val="093E2CC5"/>
    <w:rsid w:val="0AFC1B4A"/>
    <w:rsid w:val="0BAE0B02"/>
    <w:rsid w:val="0BE15D9B"/>
    <w:rsid w:val="0BFE765C"/>
    <w:rsid w:val="0C446508"/>
    <w:rsid w:val="0CD25789"/>
    <w:rsid w:val="0DB05258"/>
    <w:rsid w:val="0EB537DB"/>
    <w:rsid w:val="0EC3434D"/>
    <w:rsid w:val="0EC752BF"/>
    <w:rsid w:val="0FA11404"/>
    <w:rsid w:val="10D27CB5"/>
    <w:rsid w:val="12C10DD4"/>
    <w:rsid w:val="14087950"/>
    <w:rsid w:val="14984EDD"/>
    <w:rsid w:val="14EC5F66"/>
    <w:rsid w:val="161E5278"/>
    <w:rsid w:val="16C26DA4"/>
    <w:rsid w:val="1729035B"/>
    <w:rsid w:val="18E46F23"/>
    <w:rsid w:val="190474DD"/>
    <w:rsid w:val="199F2178"/>
    <w:rsid w:val="19DC67A9"/>
    <w:rsid w:val="1AB30007"/>
    <w:rsid w:val="1AF25B05"/>
    <w:rsid w:val="1C650B7E"/>
    <w:rsid w:val="1E522655"/>
    <w:rsid w:val="1F1B5839"/>
    <w:rsid w:val="1FBC1F6A"/>
    <w:rsid w:val="1FFC7215"/>
    <w:rsid w:val="205350A3"/>
    <w:rsid w:val="217C13CC"/>
    <w:rsid w:val="222A3180"/>
    <w:rsid w:val="22FA2631"/>
    <w:rsid w:val="235878E2"/>
    <w:rsid w:val="23C53A4C"/>
    <w:rsid w:val="23E966B9"/>
    <w:rsid w:val="245C28BC"/>
    <w:rsid w:val="24B7568B"/>
    <w:rsid w:val="24BB29AA"/>
    <w:rsid w:val="25A0799D"/>
    <w:rsid w:val="26CE14A6"/>
    <w:rsid w:val="272B43F2"/>
    <w:rsid w:val="278C59FB"/>
    <w:rsid w:val="2AAC551D"/>
    <w:rsid w:val="2AAD4328"/>
    <w:rsid w:val="2B0C6115"/>
    <w:rsid w:val="2C4C1006"/>
    <w:rsid w:val="2C556569"/>
    <w:rsid w:val="2DB90A64"/>
    <w:rsid w:val="2DE30FA4"/>
    <w:rsid w:val="2F081BE4"/>
    <w:rsid w:val="2F853CB4"/>
    <w:rsid w:val="30560905"/>
    <w:rsid w:val="30635FB9"/>
    <w:rsid w:val="30EC5CAE"/>
    <w:rsid w:val="31250541"/>
    <w:rsid w:val="312C2851"/>
    <w:rsid w:val="33153DF3"/>
    <w:rsid w:val="34A936C5"/>
    <w:rsid w:val="34E332B7"/>
    <w:rsid w:val="34EB271D"/>
    <w:rsid w:val="354E6A3A"/>
    <w:rsid w:val="35DE7C42"/>
    <w:rsid w:val="364103AC"/>
    <w:rsid w:val="39C921B3"/>
    <w:rsid w:val="3A187B71"/>
    <w:rsid w:val="3B294025"/>
    <w:rsid w:val="3BA33966"/>
    <w:rsid w:val="3C0350A1"/>
    <w:rsid w:val="3CCE7FDA"/>
    <w:rsid w:val="3E9F0B7B"/>
    <w:rsid w:val="3F522327"/>
    <w:rsid w:val="3F9C3670"/>
    <w:rsid w:val="40887665"/>
    <w:rsid w:val="40985E75"/>
    <w:rsid w:val="40BA5BF2"/>
    <w:rsid w:val="421B6909"/>
    <w:rsid w:val="42272D1D"/>
    <w:rsid w:val="430C2D08"/>
    <w:rsid w:val="433E4BAB"/>
    <w:rsid w:val="44D47474"/>
    <w:rsid w:val="452B1216"/>
    <w:rsid w:val="45F674A9"/>
    <w:rsid w:val="469F0C48"/>
    <w:rsid w:val="471C7F42"/>
    <w:rsid w:val="477165F1"/>
    <w:rsid w:val="47907965"/>
    <w:rsid w:val="47CA582F"/>
    <w:rsid w:val="494B747C"/>
    <w:rsid w:val="4A191DC9"/>
    <w:rsid w:val="4BFE69F8"/>
    <w:rsid w:val="4C801A51"/>
    <w:rsid w:val="4CA849DC"/>
    <w:rsid w:val="4E3A3AB1"/>
    <w:rsid w:val="4EFC5E24"/>
    <w:rsid w:val="508B18AD"/>
    <w:rsid w:val="50ED47DC"/>
    <w:rsid w:val="515F2ECC"/>
    <w:rsid w:val="524D308A"/>
    <w:rsid w:val="5367221B"/>
    <w:rsid w:val="542119AF"/>
    <w:rsid w:val="545C65D5"/>
    <w:rsid w:val="54EA6110"/>
    <w:rsid w:val="54F44742"/>
    <w:rsid w:val="55E91EC7"/>
    <w:rsid w:val="5715597B"/>
    <w:rsid w:val="57471ADE"/>
    <w:rsid w:val="588E5137"/>
    <w:rsid w:val="593067FE"/>
    <w:rsid w:val="59514E70"/>
    <w:rsid w:val="59A12C6E"/>
    <w:rsid w:val="5AD62AB6"/>
    <w:rsid w:val="5C997EB2"/>
    <w:rsid w:val="5CE8657C"/>
    <w:rsid w:val="613C4191"/>
    <w:rsid w:val="614B349C"/>
    <w:rsid w:val="643D4843"/>
    <w:rsid w:val="64CE7BB2"/>
    <w:rsid w:val="66D37784"/>
    <w:rsid w:val="678C1EC8"/>
    <w:rsid w:val="67C361BC"/>
    <w:rsid w:val="680E4F41"/>
    <w:rsid w:val="68517BE8"/>
    <w:rsid w:val="690E3983"/>
    <w:rsid w:val="6A1A75D3"/>
    <w:rsid w:val="6AB458EE"/>
    <w:rsid w:val="6B1F566D"/>
    <w:rsid w:val="6B2E14CC"/>
    <w:rsid w:val="6B3C1BC2"/>
    <w:rsid w:val="6CB2423C"/>
    <w:rsid w:val="6CBF1020"/>
    <w:rsid w:val="6D6C5A71"/>
    <w:rsid w:val="6D9275BA"/>
    <w:rsid w:val="6DAB79F8"/>
    <w:rsid w:val="6ED70C11"/>
    <w:rsid w:val="6FB7671E"/>
    <w:rsid w:val="70581CAC"/>
    <w:rsid w:val="70644B40"/>
    <w:rsid w:val="708D6DE3"/>
    <w:rsid w:val="70CC7AF5"/>
    <w:rsid w:val="72C47241"/>
    <w:rsid w:val="73C13649"/>
    <w:rsid w:val="75113A91"/>
    <w:rsid w:val="76266E69"/>
    <w:rsid w:val="76A52276"/>
    <w:rsid w:val="7A11628D"/>
    <w:rsid w:val="7AA37FED"/>
    <w:rsid w:val="7B163F61"/>
    <w:rsid w:val="7BB943DE"/>
    <w:rsid w:val="7BDB41F4"/>
    <w:rsid w:val="7C337274"/>
    <w:rsid w:val="7D1B299B"/>
    <w:rsid w:val="7E8C4F6F"/>
    <w:rsid w:val="7F0B54E3"/>
    <w:rsid w:val="7F78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numPr>
        <w:ilvl w:val="0"/>
        <w:numId w:val="1"/>
      </w:numPr>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8"/>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2"/>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3"/>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4"/>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5"/>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5"/>
    <w:semiHidden/>
    <w:unhideWhenUsed/>
    <w:qFormat/>
    <w:uiPriority w:val="99"/>
    <w:pPr>
      <w:jc w:val="left"/>
    </w:pPr>
    <w:rPr>
      <w:rFonts w:asciiTheme="minorHAnsi" w:hAnsiTheme="minorHAnsi" w:eastAsiaTheme="minorEastAsia" w:cstheme="minorBidi"/>
    </w:rPr>
  </w:style>
  <w:style w:type="paragraph" w:styleId="12">
    <w:name w:val="Balloon Text"/>
    <w:basedOn w:val="1"/>
    <w:link w:val="40"/>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11"/>
    <w:next w:val="11"/>
    <w:link w:val="26"/>
    <w:semiHidden/>
    <w:unhideWhenUsed/>
    <w:qFormat/>
    <w:uiPriority w:val="99"/>
    <w:rPr>
      <w:b/>
      <w:bCs/>
    </w:rPr>
  </w:style>
  <w:style w:type="character" w:styleId="19">
    <w:name w:val="Strong"/>
    <w:basedOn w:val="18"/>
    <w:qFormat/>
    <w:uiPriority w:val="0"/>
    <w:rPr>
      <w:b/>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4"/>
    <w:qFormat/>
    <w:uiPriority w:val="99"/>
    <w:rPr>
      <w:sz w:val="18"/>
      <w:szCs w:val="18"/>
    </w:rPr>
  </w:style>
  <w:style w:type="character" w:customStyle="1" w:styleId="23">
    <w:name w:val="页脚 字符"/>
    <w:basedOn w:val="18"/>
    <w:link w:val="13"/>
    <w:qFormat/>
    <w:uiPriority w:val="99"/>
    <w:rPr>
      <w:sz w:val="18"/>
      <w:szCs w:val="18"/>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批注文字 字符"/>
    <w:basedOn w:val="18"/>
    <w:link w:val="11"/>
    <w:semiHidden/>
    <w:qFormat/>
    <w:uiPriority w:val="99"/>
  </w:style>
  <w:style w:type="character" w:customStyle="1" w:styleId="26">
    <w:name w:val="批注主题 字符"/>
    <w:basedOn w:val="25"/>
    <w:link w:val="16"/>
    <w:semiHidden/>
    <w:qFormat/>
    <w:uiPriority w:val="99"/>
    <w:rPr>
      <w:b/>
      <w:bCs/>
    </w:rPr>
  </w:style>
  <w:style w:type="character" w:customStyle="1" w:styleId="27">
    <w:name w:val="标题 1 字符"/>
    <w:basedOn w:val="18"/>
    <w:link w:val="2"/>
    <w:qFormat/>
    <w:uiPriority w:val="9"/>
    <w:rPr>
      <w:b/>
      <w:bCs/>
      <w:kern w:val="44"/>
      <w:sz w:val="44"/>
      <w:szCs w:val="44"/>
    </w:rPr>
  </w:style>
  <w:style w:type="character" w:customStyle="1" w:styleId="28">
    <w:name w:val="标题 2 字符"/>
    <w:basedOn w:val="18"/>
    <w:link w:val="3"/>
    <w:semiHidden/>
    <w:qFormat/>
    <w:uiPriority w:val="9"/>
    <w:rPr>
      <w:rFonts w:asciiTheme="majorHAnsi" w:hAnsiTheme="majorHAnsi" w:eastAsiaTheme="majorEastAsia" w:cstheme="majorBidi"/>
      <w:b/>
      <w:bCs/>
      <w:sz w:val="32"/>
      <w:szCs w:val="32"/>
    </w:rPr>
  </w:style>
  <w:style w:type="character" w:customStyle="1" w:styleId="29">
    <w:name w:val="标题 3 字符"/>
    <w:basedOn w:val="18"/>
    <w:link w:val="4"/>
    <w:semiHidden/>
    <w:qFormat/>
    <w:uiPriority w:val="9"/>
    <w:rPr>
      <w:b/>
      <w:bCs/>
      <w:sz w:val="32"/>
      <w:szCs w:val="32"/>
    </w:rPr>
  </w:style>
  <w:style w:type="character" w:customStyle="1" w:styleId="30">
    <w:name w:val="标题 4 字符"/>
    <w:basedOn w:val="18"/>
    <w:link w:val="5"/>
    <w:semiHidden/>
    <w:qFormat/>
    <w:uiPriority w:val="9"/>
    <w:rPr>
      <w:rFonts w:asciiTheme="majorHAnsi" w:hAnsiTheme="majorHAnsi" w:eastAsiaTheme="majorEastAsia" w:cstheme="majorBidi"/>
      <w:b/>
      <w:bCs/>
      <w:sz w:val="28"/>
      <w:szCs w:val="28"/>
    </w:rPr>
  </w:style>
  <w:style w:type="character" w:customStyle="1" w:styleId="31">
    <w:name w:val="标题 5 字符"/>
    <w:basedOn w:val="18"/>
    <w:link w:val="6"/>
    <w:semiHidden/>
    <w:qFormat/>
    <w:uiPriority w:val="9"/>
    <w:rPr>
      <w:b/>
      <w:bCs/>
      <w:sz w:val="28"/>
      <w:szCs w:val="28"/>
    </w:rPr>
  </w:style>
  <w:style w:type="character" w:customStyle="1" w:styleId="32">
    <w:name w:val="标题 6 字符"/>
    <w:basedOn w:val="18"/>
    <w:link w:val="7"/>
    <w:semiHidden/>
    <w:qFormat/>
    <w:uiPriority w:val="9"/>
    <w:rPr>
      <w:rFonts w:asciiTheme="majorHAnsi" w:hAnsiTheme="majorHAnsi" w:eastAsiaTheme="majorEastAsia" w:cstheme="majorBidi"/>
      <w:b/>
      <w:bCs/>
      <w:sz w:val="24"/>
      <w:szCs w:val="24"/>
    </w:rPr>
  </w:style>
  <w:style w:type="character" w:customStyle="1" w:styleId="33">
    <w:name w:val="标题 7 字符"/>
    <w:basedOn w:val="18"/>
    <w:link w:val="8"/>
    <w:semiHidden/>
    <w:qFormat/>
    <w:uiPriority w:val="9"/>
    <w:rPr>
      <w:b/>
      <w:bCs/>
      <w:sz w:val="24"/>
      <w:szCs w:val="24"/>
    </w:rPr>
  </w:style>
  <w:style w:type="character" w:customStyle="1" w:styleId="34">
    <w:name w:val="标题 8 字符"/>
    <w:basedOn w:val="18"/>
    <w:link w:val="9"/>
    <w:semiHidden/>
    <w:qFormat/>
    <w:uiPriority w:val="9"/>
    <w:rPr>
      <w:rFonts w:asciiTheme="majorHAnsi" w:hAnsiTheme="majorHAnsi" w:eastAsiaTheme="majorEastAsia" w:cstheme="majorBidi"/>
      <w:sz w:val="24"/>
      <w:szCs w:val="24"/>
    </w:rPr>
  </w:style>
  <w:style w:type="character" w:customStyle="1" w:styleId="35">
    <w:name w:val="标题 9 字符"/>
    <w:basedOn w:val="18"/>
    <w:link w:val="10"/>
    <w:semiHidden/>
    <w:qFormat/>
    <w:uiPriority w:val="9"/>
    <w:rPr>
      <w:rFonts w:asciiTheme="majorHAnsi" w:hAnsiTheme="majorHAnsi" w:eastAsiaTheme="majorEastAsia" w:cstheme="majorBidi"/>
      <w:szCs w:val="21"/>
    </w:rPr>
  </w:style>
  <w:style w:type="paragraph" w:styleId="36">
    <w:name w:val="List Paragraph"/>
    <w:basedOn w:val="1"/>
    <w:qFormat/>
    <w:uiPriority w:val="34"/>
    <w:pPr>
      <w:ind w:firstLine="420" w:firstLineChars="200"/>
    </w:pPr>
    <w:rPr>
      <w:rFonts w:asciiTheme="minorHAnsi" w:hAnsiTheme="minorHAnsi" w:eastAsiaTheme="minorEastAsia" w:cstheme="minorBidi"/>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标题1"/>
    <w:basedOn w:val="18"/>
    <w:qFormat/>
    <w:uiPriority w:val="0"/>
    <w:rPr>
      <w:rFonts w:ascii="微软雅黑" w:hAnsi="微软雅黑" w:eastAsia="微软雅黑" w:cs="微软雅黑"/>
      <w:sz w:val="26"/>
      <w:szCs w:val="26"/>
    </w:rPr>
  </w:style>
  <w:style w:type="character" w:customStyle="1" w:styleId="39">
    <w:name w:val="sect2title"/>
    <w:basedOn w:val="18"/>
    <w:qFormat/>
    <w:uiPriority w:val="0"/>
    <w:rPr>
      <w:rFonts w:ascii="微软雅黑" w:hAnsi="微软雅黑" w:eastAsia="微软雅黑" w:cs="微软雅黑"/>
      <w:b/>
      <w:bCs/>
      <w:sz w:val="26"/>
      <w:szCs w:val="26"/>
    </w:rPr>
  </w:style>
  <w:style w:type="character" w:customStyle="1" w:styleId="40">
    <w:name w:val="批注框文本 字符"/>
    <w:basedOn w:val="18"/>
    <w:link w:val="12"/>
    <w:semiHidden/>
    <w:qFormat/>
    <w:uiPriority w:val="99"/>
    <w:rPr>
      <w:kern w:val="2"/>
      <w:sz w:val="18"/>
      <w:szCs w:val="18"/>
    </w:rPr>
  </w:style>
  <w:style w:type="paragraph" w:customStyle="1" w:styleId="41">
    <w:name w:val="faguicon_p"/>
    <w:basedOn w:val="1"/>
    <w:qFormat/>
    <w:uiPriority w:val="0"/>
    <w:pPr>
      <w:widowControl/>
      <w:ind w:firstLine="480"/>
      <w:jc w:val="left"/>
    </w:pPr>
    <w:rPr>
      <w:rFonts w:ascii="微软雅黑" w:hAnsi="微软雅黑" w:eastAsia="微软雅黑" w:cs="微软雅黑"/>
      <w:kern w:val="0"/>
      <w:sz w:val="24"/>
      <w:szCs w:val="24"/>
    </w:rPr>
  </w:style>
  <w:style w:type="character" w:customStyle="1" w:styleId="42">
    <w:name w:val="a_contentlink_link"/>
    <w:basedOn w:val="18"/>
    <w:qFormat/>
    <w:uiPriority w:val="0"/>
    <w:rPr>
      <w:rFonts w:ascii="微软雅黑" w:hAnsi="微软雅黑" w:eastAsia="微软雅黑" w:cs="微软雅黑"/>
      <w:color w:val="0000FF"/>
      <w:sz w:val="24"/>
      <w:szCs w:val="24"/>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13218</Words>
  <Characters>13313</Characters>
  <Lines>94</Lines>
  <Paragraphs>26</Paragraphs>
  <TotalTime>12</TotalTime>
  <ScaleCrop>false</ScaleCrop>
  <LinksUpToDate>false</LinksUpToDate>
  <CharactersWithSpaces>13353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2022-03-07T03:44:00Z</dcterms:created>
  <dc:creator>Shi Kevin</dc:creator>
  <cp:lastModifiedBy>徐世龙</cp:lastModifiedBy>
  <dcterms:modified xsi:type="dcterms:W3CDTF">2025-05-22T10:16:45Z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C988310E005B448D86923F1C6223B397_13</vt:lpwstr>
  </property>
</Properties>
</file>