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99" w:lineRule="exact"/>
        <w:ind w:left="2115" w:right="2194"/>
      </w:pPr>
      <w:r>
        <w:rPr>
          <w:rFonts w:hint="eastAsia"/>
          <w:lang w:val="en-US" w:eastAsia="zh-CN"/>
        </w:rPr>
        <w:t>承德银行</w:t>
      </w:r>
      <w:r>
        <w:t>理财产品投资协议书</w:t>
      </w:r>
    </w:p>
    <w:p>
      <w:pPr>
        <w:spacing w:line="500" w:lineRule="exact"/>
        <w:ind w:firstLine="442" w:firstLineChars="200"/>
        <w:rPr>
          <w:rFonts w:hint="eastAsia" w:ascii="宋体" w:hAnsi="宋体"/>
          <w:b/>
          <w:szCs w:val="21"/>
        </w:rPr>
      </w:pPr>
      <w:r>
        <w:rPr>
          <w:rFonts w:hint="eastAsia" w:ascii="宋体" w:hAnsi="宋体"/>
          <w:b/>
          <w:szCs w:val="21"/>
        </w:rPr>
        <w:t>特别提示：</w:t>
      </w:r>
    </w:p>
    <w:p>
      <w:pPr>
        <w:spacing w:line="500" w:lineRule="exact"/>
        <w:ind w:firstLine="442" w:firstLineChars="200"/>
        <w:rPr>
          <w:rFonts w:hint="eastAsia" w:ascii="宋体" w:hAnsi="宋体"/>
          <w:b/>
          <w:szCs w:val="21"/>
        </w:rPr>
      </w:pPr>
      <w:r>
        <w:rPr>
          <w:rFonts w:hint="eastAsia" w:ascii="宋体" w:hAnsi="宋体"/>
          <w:b/>
          <w:szCs w:val="21"/>
        </w:rPr>
        <w:t>甲方在签署本协议之前，请务必仔细阅读本协议全部条款（特别是字体加黑条款）。</w:t>
      </w:r>
    </w:p>
    <w:p>
      <w:pPr>
        <w:spacing w:line="500" w:lineRule="exact"/>
        <w:ind w:firstLine="442" w:firstLineChars="200"/>
        <w:rPr>
          <w:rFonts w:hint="eastAsia" w:ascii="宋体" w:hAnsi="宋体"/>
          <w:b/>
          <w:szCs w:val="21"/>
        </w:rPr>
      </w:pPr>
      <w:r>
        <w:rPr>
          <w:rFonts w:hint="eastAsia" w:ascii="宋体" w:hAnsi="宋体"/>
          <w:b/>
          <w:szCs w:val="21"/>
        </w:rPr>
        <w:t>乙方已对协议内容、尤其是对甲方有重大利害关系的条款，进行充分提示并说明，如甲方仍然存在任何疑问或异议之处，请勿签署本协议，甲方有权及时向乙方及专业人士咨询，亦有权向乙方提出修改协议之协商意见。</w:t>
      </w:r>
    </w:p>
    <w:p>
      <w:pPr>
        <w:spacing w:line="500" w:lineRule="exact"/>
        <w:ind w:firstLine="442" w:firstLineChars="200"/>
        <w:rPr>
          <w:rFonts w:hint="eastAsia" w:ascii="宋体" w:hAnsi="宋体"/>
          <w:b/>
          <w:szCs w:val="21"/>
        </w:rPr>
      </w:pPr>
      <w:r>
        <w:rPr>
          <w:rFonts w:hint="eastAsia" w:ascii="宋体" w:hAnsi="宋体"/>
          <w:b/>
          <w:szCs w:val="21"/>
        </w:rPr>
        <w:t>本协议一经订立，即视为双方已充分理解并同意本协议全部条款，经协商达成了一致意见，代表双方真实意思表示。</w:t>
      </w:r>
    </w:p>
    <w:p>
      <w:pPr>
        <w:spacing w:line="500" w:lineRule="exact"/>
        <w:ind w:firstLine="442" w:firstLineChars="200"/>
        <w:rPr>
          <w:rFonts w:ascii="宋体" w:hAnsi="宋体"/>
          <w:b/>
          <w:szCs w:val="21"/>
        </w:rPr>
      </w:pPr>
    </w:p>
    <w:p>
      <w:pPr>
        <w:spacing w:line="500" w:lineRule="exact"/>
        <w:ind w:firstLine="0" w:firstLineChars="0"/>
        <w:rPr>
          <w:rFonts w:hint="eastAsia" w:ascii="宋体" w:hAnsi="宋体"/>
          <w:b/>
          <w:szCs w:val="21"/>
        </w:rPr>
      </w:pPr>
      <w:r>
        <w:rPr>
          <w:rFonts w:hint="eastAsia" w:ascii="宋体" w:hAnsi="宋体"/>
          <w:b/>
          <w:szCs w:val="21"/>
          <w:lang w:val="en-US" w:eastAsia="zh-CN"/>
        </w:rPr>
        <w:t xml:space="preserve">    </w:t>
      </w:r>
      <w:r>
        <w:rPr>
          <w:rFonts w:hint="eastAsia" w:ascii="宋体" w:hAnsi="宋体"/>
          <w:b/>
          <w:szCs w:val="21"/>
        </w:rPr>
        <w:t>甲方签名或盖章：_____________</w:t>
      </w:r>
    </w:p>
    <w:p>
      <w:pPr>
        <w:spacing w:line="500" w:lineRule="exact"/>
        <w:ind w:firstLine="0" w:firstLineChars="0"/>
        <w:rPr>
          <w:rFonts w:hint="eastAsia" w:ascii="宋体" w:hAnsi="宋体" w:cs="宋体"/>
          <w:szCs w:val="21"/>
          <w:u w:val="single"/>
        </w:rPr>
      </w:pPr>
      <w:r>
        <w:rPr>
          <w:rFonts w:hint="eastAsia" w:ascii="宋体" w:hAnsi="宋体"/>
          <w:b/>
          <w:sz w:val="32"/>
          <w:szCs w:val="32"/>
          <w:lang w:val="en-US" w:eastAsia="zh-CN"/>
        </w:rPr>
        <w:t xml:space="preserve">   </w:t>
      </w:r>
      <w:r>
        <w:rPr>
          <w:rFonts w:hint="eastAsia" w:ascii="宋体" w:hAnsi="宋体" w:cs="宋体"/>
          <w:szCs w:val="21"/>
        </w:rPr>
        <w:t>甲方：</w:t>
      </w:r>
      <w:r>
        <w:rPr>
          <w:rFonts w:hint="eastAsia" w:ascii="宋体" w:hAnsi="宋体" w:cs="宋体"/>
          <w:szCs w:val="21"/>
          <w:u w:val="single"/>
        </w:rPr>
        <w:t xml:space="preserve">                                                 </w:t>
      </w:r>
    </w:p>
    <w:p>
      <w:pPr>
        <w:spacing w:line="500" w:lineRule="exact"/>
        <w:ind w:firstLine="440" w:firstLineChars="200"/>
      </w:pPr>
      <w:r>
        <w:rPr>
          <w:rFonts w:hint="eastAsia" w:ascii="宋体" w:hAnsi="宋体" w:cs="宋体"/>
          <w:szCs w:val="21"/>
        </w:rPr>
        <w:t>乙方：承德银行股份有限公司</w:t>
      </w:r>
      <w:r>
        <w:rPr>
          <w:rFonts w:hint="eastAsia" w:ascii="宋体" w:hAnsi="宋体" w:cs="宋体"/>
          <w:szCs w:val="21"/>
          <w:u w:val="single"/>
        </w:rPr>
        <w:t xml:space="preserve">                             </w:t>
      </w:r>
    </w:p>
    <w:p>
      <w:pPr>
        <w:pStyle w:val="3"/>
        <w:spacing w:before="10"/>
        <w:ind w:left="0"/>
        <w:rPr>
          <w:rFonts w:ascii="微软雅黑"/>
          <w:b/>
          <w:sz w:val="33"/>
        </w:rPr>
      </w:pPr>
    </w:p>
    <w:p>
      <w:pPr>
        <w:pStyle w:val="3"/>
        <w:spacing w:line="364" w:lineRule="auto"/>
        <w:ind w:right="619" w:firstLine="480"/>
      </w:pPr>
      <w:r>
        <w:rPr>
          <w:rFonts w:hint="eastAsia"/>
          <w:lang w:val="en-US" w:eastAsia="zh-CN"/>
        </w:rPr>
        <w:t>承德银行股份有限</w:t>
      </w:r>
      <w:r>
        <w:t>公司（以下简称“</w:t>
      </w:r>
      <w:r>
        <w:rPr>
          <w:rFonts w:hint="eastAsia"/>
          <w:lang w:val="en-US" w:eastAsia="zh-CN"/>
        </w:rPr>
        <w:t>承德银行</w:t>
      </w:r>
      <w:r>
        <w:t>”或“产品管理人”）与其发行理财产品的投资者经平等友好协商，本着自愿、诚实信用的原则，就</w:t>
      </w:r>
      <w:r>
        <w:rPr>
          <w:rFonts w:hint="eastAsia"/>
          <w:lang w:val="en-US" w:eastAsia="zh-CN"/>
        </w:rPr>
        <w:t>承德银行</w:t>
      </w:r>
      <w:r>
        <w:t>向投资者提供的理财产品，达成如下协议（以下简称</w:t>
      </w:r>
      <w:r>
        <w:rPr>
          <w:rFonts w:hint="eastAsia" w:ascii="PMingLiU" w:hAnsi="PMingLiU" w:eastAsia="PMingLiU"/>
        </w:rPr>
        <w:t>“</w:t>
      </w:r>
      <w:r>
        <w:t>本协议</w:t>
      </w:r>
      <w:r>
        <w:rPr>
          <w:rFonts w:hint="eastAsia" w:ascii="PMingLiU" w:hAnsi="PMingLiU" w:eastAsia="PMingLiU"/>
        </w:rPr>
        <w:t>”</w:t>
      </w:r>
      <w:r>
        <w:t>）。本协议为本理财</w:t>
      </w:r>
      <w:r>
        <w:rPr>
          <w:highlight w:val="none"/>
        </w:rPr>
        <w:t>产品</w:t>
      </w:r>
      <w:r>
        <w:rPr>
          <w:rFonts w:hint="eastAsia"/>
          <w:highlight w:val="none"/>
          <w:lang w:val="en-US" w:eastAsia="zh-CN"/>
        </w:rPr>
        <w:t>销售文件</w:t>
      </w:r>
      <w:r>
        <w:t>不可分割之组成部分：</w:t>
      </w:r>
      <w:bookmarkStart w:id="0" w:name="（一）产品管理人声明与保证"/>
      <w:bookmarkEnd w:id="0"/>
    </w:p>
    <w:p>
      <w:pPr>
        <w:pStyle w:val="3"/>
        <w:spacing w:line="364" w:lineRule="auto"/>
        <w:ind w:right="619" w:firstLine="480"/>
      </w:pPr>
      <w:r>
        <w:rPr>
          <w:rFonts w:hint="eastAsia"/>
          <w:lang w:val="en-US" w:eastAsia="zh-CN"/>
        </w:rPr>
        <w:t>一、</w:t>
      </w:r>
      <w:r>
        <w:t>产品管理人声明与保证</w:t>
      </w:r>
    </w:p>
    <w:p>
      <w:pPr>
        <w:pStyle w:val="6"/>
        <w:numPr>
          <w:ilvl w:val="0"/>
          <w:numId w:val="1"/>
        </w:numPr>
        <w:tabs>
          <w:tab w:val="left" w:pos="1264"/>
        </w:tabs>
        <w:spacing w:before="160" w:after="0" w:line="364" w:lineRule="auto"/>
        <w:ind w:left="541" w:right="619" w:firstLine="480"/>
        <w:jc w:val="left"/>
        <w:rPr>
          <w:sz w:val="24"/>
        </w:rPr>
      </w:pPr>
      <w:r>
        <w:rPr>
          <w:sz w:val="24"/>
        </w:rPr>
        <w:t>产品管理人具有开办理财业务的经营资质，保证以诚实信用、勤勉谨慎的原则管理和运用理财资金。</w:t>
      </w:r>
    </w:p>
    <w:p>
      <w:pPr>
        <w:pStyle w:val="6"/>
        <w:numPr>
          <w:ilvl w:val="0"/>
          <w:numId w:val="1"/>
        </w:numPr>
        <w:tabs>
          <w:tab w:val="left" w:pos="1263"/>
        </w:tabs>
        <w:spacing w:before="1" w:after="0" w:line="240" w:lineRule="auto"/>
        <w:ind w:left="1262" w:right="0" w:hanging="242"/>
        <w:jc w:val="left"/>
        <w:rPr>
          <w:sz w:val="24"/>
        </w:rPr>
      </w:pPr>
      <w:r>
        <w:rPr>
          <w:sz w:val="24"/>
        </w:rPr>
        <w:t>产品管理人具有完全适当的资格和能力订立与履行本理财产品</w:t>
      </w:r>
      <w:r>
        <w:rPr>
          <w:rFonts w:hint="eastAsia"/>
          <w:sz w:val="24"/>
          <w:lang w:val="en-US" w:eastAsia="zh-CN"/>
        </w:rPr>
        <w:t>协议</w:t>
      </w:r>
      <w:r>
        <w:rPr>
          <w:sz w:val="24"/>
        </w:rPr>
        <w:t>。</w:t>
      </w:r>
    </w:p>
    <w:p>
      <w:pPr>
        <w:pStyle w:val="3"/>
        <w:spacing w:before="2"/>
        <w:ind w:left="1021"/>
      </w:pPr>
      <w:bookmarkStart w:id="1" w:name="（二）投资者声明与保证"/>
      <w:bookmarkEnd w:id="1"/>
      <w:r>
        <w:rPr>
          <w:rFonts w:hint="eastAsia"/>
          <w:lang w:val="en-US" w:eastAsia="zh-CN"/>
        </w:rPr>
        <w:t>二、</w:t>
      </w:r>
      <w:r>
        <w:t>投资者声明与保证</w:t>
      </w:r>
    </w:p>
    <w:p>
      <w:pPr>
        <w:pStyle w:val="6"/>
        <w:numPr>
          <w:ilvl w:val="0"/>
          <w:numId w:val="2"/>
        </w:numPr>
        <w:tabs>
          <w:tab w:val="left" w:pos="1264"/>
        </w:tabs>
        <w:spacing w:before="160" w:after="0" w:line="364" w:lineRule="auto"/>
        <w:ind w:left="541" w:right="619" w:firstLine="480"/>
        <w:jc w:val="left"/>
        <w:rPr>
          <w:sz w:val="24"/>
        </w:rPr>
      </w:pPr>
      <w:r>
        <w:rPr>
          <w:sz w:val="24"/>
        </w:rPr>
        <w:t>投资者为符合法律法规和监管规定的不特定社会公众，能够自行识别、判断和承担理财产品的相关风险。</w:t>
      </w:r>
    </w:p>
    <w:p>
      <w:pPr>
        <w:pStyle w:val="6"/>
        <w:numPr>
          <w:ilvl w:val="0"/>
          <w:numId w:val="2"/>
        </w:numPr>
        <w:tabs>
          <w:tab w:val="left" w:pos="1264"/>
        </w:tabs>
        <w:spacing w:before="1" w:after="0" w:line="364" w:lineRule="auto"/>
        <w:ind w:left="541" w:right="619" w:firstLine="480"/>
        <w:jc w:val="left"/>
        <w:rPr>
          <w:sz w:val="24"/>
        </w:rPr>
      </w:pPr>
      <w:r>
        <w:rPr>
          <w:sz w:val="24"/>
        </w:rPr>
        <w:t>投资者具有完全民事行为能力，有完全适当的资格与能力订立并履行本理财产品合同，不存在法律、行政法规有关规定禁止或限制投资理财产品的情形。</w:t>
      </w:r>
    </w:p>
    <w:p>
      <w:pPr>
        <w:pStyle w:val="6"/>
        <w:numPr>
          <w:ilvl w:val="0"/>
          <w:numId w:val="2"/>
        </w:numPr>
        <w:tabs>
          <w:tab w:val="left" w:pos="1264"/>
        </w:tabs>
        <w:spacing w:before="161" w:after="0" w:line="364" w:lineRule="auto"/>
        <w:ind w:left="541" w:right="616" w:firstLine="480"/>
        <w:jc w:val="both"/>
        <w:rPr>
          <w:sz w:val="24"/>
        </w:rPr>
      </w:pPr>
      <w:r>
        <w:rPr>
          <w:sz w:val="24"/>
        </w:rPr>
        <w:t>投资者保证以真实身份投资本理财产品，保证提供给产品管理人</w:t>
      </w:r>
      <w:r>
        <w:rPr>
          <w:spacing w:val="-3"/>
          <w:sz w:val="24"/>
        </w:rPr>
        <w:t>的信息和资料均真实、准确、完整、合法、有效。如投资者的信息和</w:t>
      </w:r>
      <w:r>
        <w:rPr>
          <w:sz w:val="24"/>
        </w:rPr>
        <w:t>/</w:t>
      </w:r>
      <w:r>
        <w:rPr>
          <w:spacing w:val="-4"/>
          <w:sz w:val="24"/>
        </w:rPr>
        <w:t>或资料发</w:t>
      </w:r>
      <w:r>
        <w:rPr>
          <w:sz w:val="24"/>
        </w:rPr>
        <w:t>生变更，应当及时书面告知产品管理人。</w:t>
      </w:r>
    </w:p>
    <w:p>
      <w:pPr>
        <w:pStyle w:val="6"/>
        <w:numPr>
          <w:ilvl w:val="0"/>
          <w:numId w:val="2"/>
        </w:numPr>
        <w:tabs>
          <w:tab w:val="left" w:pos="1263"/>
        </w:tabs>
        <w:spacing w:before="2" w:after="0" w:line="240" w:lineRule="auto"/>
        <w:ind w:left="1262" w:right="0" w:hanging="242"/>
        <w:jc w:val="left"/>
        <w:rPr>
          <w:sz w:val="24"/>
        </w:rPr>
      </w:pPr>
      <w:r>
        <w:rPr>
          <w:sz w:val="24"/>
        </w:rPr>
        <w:t>投资者声明熟悉理财产品类型特征及不同销售渠道的法律法规规定。</w:t>
      </w:r>
    </w:p>
    <w:p>
      <w:pPr>
        <w:pStyle w:val="6"/>
        <w:numPr>
          <w:ilvl w:val="0"/>
          <w:numId w:val="2"/>
        </w:numPr>
        <w:tabs>
          <w:tab w:val="left" w:pos="1264"/>
        </w:tabs>
        <w:spacing w:before="160" w:after="0" w:line="364" w:lineRule="auto"/>
        <w:ind w:left="541" w:right="619" w:firstLine="480"/>
        <w:jc w:val="left"/>
        <w:rPr>
          <w:sz w:val="24"/>
        </w:rPr>
      </w:pPr>
      <w:r>
        <w:rPr>
          <w:sz w:val="24"/>
        </w:rPr>
        <w:t>投资者承诺：如委托他人购买本产品，代理人须出具具有法律效力的授权委托书。</w:t>
      </w:r>
    </w:p>
    <w:p>
      <w:pPr>
        <w:pStyle w:val="6"/>
        <w:numPr>
          <w:ilvl w:val="0"/>
          <w:numId w:val="2"/>
        </w:numPr>
        <w:tabs>
          <w:tab w:val="left" w:pos="1264"/>
        </w:tabs>
        <w:spacing w:before="2" w:after="0" w:line="364" w:lineRule="auto"/>
        <w:ind w:left="541" w:right="619" w:firstLine="480"/>
        <w:jc w:val="left"/>
        <w:rPr>
          <w:sz w:val="24"/>
        </w:rPr>
      </w:pPr>
      <w:r>
        <w:rPr>
          <w:sz w:val="24"/>
        </w:rPr>
        <w:t>投资者保证理财投资资金来源和用途合法，保证可向产品管理人提供合法筹集的证明文件。</w:t>
      </w:r>
    </w:p>
    <w:p>
      <w:pPr>
        <w:pStyle w:val="6"/>
        <w:numPr>
          <w:ilvl w:val="0"/>
          <w:numId w:val="2"/>
        </w:numPr>
        <w:tabs>
          <w:tab w:val="left" w:pos="1263"/>
        </w:tabs>
        <w:spacing w:before="1" w:after="0" w:line="240" w:lineRule="auto"/>
        <w:ind w:left="1262" w:right="0" w:hanging="242"/>
        <w:jc w:val="left"/>
        <w:rPr>
          <w:sz w:val="24"/>
        </w:rPr>
      </w:pPr>
      <w:r>
        <w:rPr>
          <w:sz w:val="24"/>
        </w:rPr>
        <w:t>投资者不利用本理财业务及本理财产品合同项下理财产品从事违法活动。</w:t>
      </w:r>
    </w:p>
    <w:p>
      <w:pPr>
        <w:pStyle w:val="6"/>
        <w:numPr>
          <w:ilvl w:val="0"/>
          <w:numId w:val="2"/>
        </w:numPr>
        <w:tabs>
          <w:tab w:val="left" w:pos="1263"/>
        </w:tabs>
        <w:spacing w:before="160" w:after="0" w:line="364" w:lineRule="auto"/>
        <w:ind w:left="541" w:right="499" w:firstLine="480"/>
        <w:jc w:val="left"/>
        <w:rPr>
          <w:sz w:val="24"/>
        </w:rPr>
      </w:pPr>
      <w:r>
        <w:rPr>
          <w:spacing w:val="-3"/>
          <w:sz w:val="24"/>
        </w:rPr>
        <w:t>投资者保证遵守国家反洗钱法律、法规及相关政策要求，不从事涉及洗钱、</w:t>
      </w:r>
      <w:r>
        <w:rPr>
          <w:spacing w:val="-4"/>
          <w:sz w:val="24"/>
        </w:rPr>
        <w:t>恐怖融资、逃税、逃废债务、套取现金等违法违规活动，积极配合管理人</w:t>
      </w:r>
      <w:r>
        <w:rPr>
          <w:sz w:val="24"/>
        </w:rPr>
        <w:t>根据反洗钱、反恐怖融资及非居民金融账户涉税信息尽职调查等相关法律法规要求开展投资者身份识别、交易记录保存、投资者身份及交易背景尽职调查、大额和可疑交易报告等各项反洗钱工作，并按要求提供相关证明材料。</w:t>
      </w:r>
    </w:p>
    <w:p>
      <w:pPr>
        <w:pStyle w:val="6"/>
        <w:numPr>
          <w:ilvl w:val="0"/>
          <w:numId w:val="2"/>
        </w:numPr>
        <w:tabs>
          <w:tab w:val="left" w:pos="1383"/>
        </w:tabs>
        <w:spacing w:before="2" w:after="0" w:line="364" w:lineRule="auto"/>
        <w:ind w:left="541" w:right="619" w:firstLine="480"/>
        <w:jc w:val="both"/>
        <w:rPr>
          <w:sz w:val="24"/>
        </w:rPr>
      </w:pPr>
      <w:r>
        <w:rPr>
          <w:spacing w:val="-3"/>
          <w:sz w:val="24"/>
        </w:rPr>
        <w:t>投资者承诺投资资金为自有资金，投资者保证不使用贷款、发行债券</w:t>
      </w:r>
      <w:r>
        <w:rPr>
          <w:sz w:val="24"/>
        </w:rPr>
        <w:t>等筹集的非自有资金投资理财产品，保证投资本理财产品不存在违反监管要求的产品嵌套，以及以投资本理财产品规避投资范围、杠杆约束等监管要求等违规行为。</w:t>
      </w:r>
    </w:p>
    <w:p>
      <w:pPr>
        <w:pStyle w:val="3"/>
        <w:spacing w:before="3"/>
        <w:ind w:left="1021"/>
      </w:pPr>
      <w:bookmarkStart w:id="2" w:name="（三）双方同意"/>
      <w:bookmarkEnd w:id="2"/>
      <w:r>
        <w:rPr>
          <w:rFonts w:hint="eastAsia"/>
          <w:lang w:val="en-US" w:eastAsia="zh-CN"/>
        </w:rPr>
        <w:t>三、</w:t>
      </w:r>
      <w:r>
        <w:t>双方同意</w:t>
      </w:r>
    </w:p>
    <w:p>
      <w:pPr>
        <w:pStyle w:val="6"/>
        <w:numPr>
          <w:ilvl w:val="0"/>
          <w:numId w:val="3"/>
        </w:numPr>
        <w:tabs>
          <w:tab w:val="left" w:pos="1264"/>
        </w:tabs>
        <w:spacing w:before="160" w:after="0" w:line="364" w:lineRule="auto"/>
        <w:ind w:left="541" w:right="619" w:firstLine="480"/>
        <w:jc w:val="both"/>
        <w:rPr>
          <w:b/>
          <w:bCs/>
          <w:sz w:val="24"/>
        </w:rPr>
      </w:pPr>
      <w:bookmarkStart w:id="3" w:name="_GoBack"/>
      <w:r>
        <w:rPr>
          <w:b/>
          <w:bCs/>
          <w:sz w:val="24"/>
        </w:rPr>
        <w:t>未经产品管理人同意，投资者不得以本理财产品合同或本理财产品合同项</w:t>
      </w:r>
      <w:r>
        <w:rPr>
          <w:b/>
          <w:bCs/>
          <w:spacing w:val="-3"/>
          <w:sz w:val="24"/>
        </w:rPr>
        <w:t>下的任何权利、利益、权益</w:t>
      </w:r>
      <w:r>
        <w:rPr>
          <w:b/>
          <w:bCs/>
          <w:sz w:val="24"/>
        </w:rPr>
        <w:t>（包括单独和整体</w:t>
      </w:r>
      <w:r>
        <w:rPr>
          <w:b/>
          <w:bCs/>
          <w:spacing w:val="-5"/>
          <w:sz w:val="24"/>
        </w:rPr>
        <w:t>）</w:t>
      </w:r>
      <w:r>
        <w:rPr>
          <w:b/>
          <w:bCs/>
          <w:sz w:val="24"/>
        </w:rPr>
        <w:t>为投资者和/</w:t>
      </w:r>
      <w:r>
        <w:rPr>
          <w:b/>
          <w:bCs/>
          <w:spacing w:val="-2"/>
          <w:sz w:val="24"/>
        </w:rPr>
        <w:t>或任何第三人的债务</w:t>
      </w:r>
      <w:r>
        <w:rPr>
          <w:b/>
          <w:bCs/>
          <w:sz w:val="24"/>
        </w:rPr>
        <w:t>设定担保或其他权益。</w:t>
      </w:r>
    </w:p>
    <w:p>
      <w:pPr>
        <w:pStyle w:val="6"/>
        <w:numPr>
          <w:ilvl w:val="0"/>
          <w:numId w:val="3"/>
        </w:numPr>
        <w:tabs>
          <w:tab w:val="left" w:pos="1264"/>
        </w:tabs>
        <w:spacing w:before="2" w:after="0" w:line="364" w:lineRule="auto"/>
        <w:ind w:left="541" w:right="619" w:firstLine="480"/>
        <w:jc w:val="left"/>
        <w:rPr>
          <w:b/>
          <w:bCs/>
          <w:sz w:val="24"/>
        </w:rPr>
      </w:pPr>
      <w:r>
        <w:rPr>
          <w:b/>
          <w:bCs/>
          <w:sz w:val="24"/>
        </w:rPr>
        <w:t>未经产品管理人同意，投资者不得向任何第三人转让、赠与本理财产品合同或本理财产品合同项下的任何权利、利益、权益（包括单独和整体）。</w:t>
      </w:r>
    </w:p>
    <w:p>
      <w:pPr>
        <w:pStyle w:val="6"/>
        <w:numPr>
          <w:ilvl w:val="0"/>
          <w:numId w:val="3"/>
        </w:numPr>
        <w:tabs>
          <w:tab w:val="left" w:pos="1264"/>
        </w:tabs>
        <w:spacing w:before="1" w:after="0" w:line="364" w:lineRule="auto"/>
        <w:ind w:left="541" w:right="619" w:firstLine="480"/>
        <w:jc w:val="left"/>
        <w:rPr>
          <w:b/>
          <w:bCs/>
          <w:sz w:val="24"/>
        </w:rPr>
      </w:pPr>
      <w:r>
        <w:rPr>
          <w:b/>
          <w:bCs/>
          <w:sz w:val="24"/>
        </w:rPr>
        <w:t>产品管理人不承担对第三人支付本产品项下投资者应得清算分配金额以及相关权益的责任，法律法规另有规定的除</w:t>
      </w:r>
      <w:r>
        <w:rPr>
          <w:rFonts w:hint="eastAsia"/>
          <w:b/>
          <w:bCs/>
          <w:sz w:val="24"/>
          <w:lang w:val="en-US" w:eastAsia="zh-CN"/>
        </w:rPr>
        <w:t>外</w:t>
      </w:r>
    </w:p>
    <w:p>
      <w:pPr>
        <w:pStyle w:val="3"/>
        <w:numPr>
          <w:ilvl w:val="0"/>
          <w:numId w:val="3"/>
        </w:numPr>
        <w:spacing w:before="1" w:line="364" w:lineRule="auto"/>
        <w:ind w:left="541" w:leftChars="0" w:right="619" w:firstLine="480" w:firstLineChars="0"/>
        <w:jc w:val="both"/>
        <w:rPr>
          <w:rFonts w:hint="eastAsia"/>
          <w:b/>
          <w:bCs/>
          <w:spacing w:val="-4"/>
          <w:lang w:val="en-US" w:eastAsia="zh-CN"/>
        </w:rPr>
      </w:pPr>
      <w:r>
        <w:rPr>
          <w:b/>
          <w:bCs/>
          <w:spacing w:val="-4"/>
        </w:rPr>
        <w:t>本理财产品运作过程中涉及的各纳税主体，其纳税义务按国家税收法</w:t>
      </w:r>
      <w:r>
        <w:rPr>
          <w:b/>
          <w:bCs/>
        </w:rPr>
        <w:t>律、法规执行。除法律法规特别要求外，投资者应缴纳的税收由投资者负责，产品管理人不承担代扣代缴或纳税的义务。理财产品运营过程中发生的应由理财产品承担的增值税应税行为，由产品管理人申报和缴纳增值</w:t>
      </w:r>
      <w:r>
        <w:rPr>
          <w:rFonts w:hint="eastAsia"/>
          <w:b/>
          <w:bCs/>
          <w:spacing w:val="-4"/>
          <w:lang w:val="en-US" w:eastAsia="zh-CN"/>
        </w:rPr>
        <w:t>税及附加税费，该等税款直接从理财产品账户中扣付缴纳。</w:t>
      </w:r>
    </w:p>
    <w:p>
      <w:pPr>
        <w:pStyle w:val="3"/>
        <w:numPr>
          <w:ilvl w:val="0"/>
          <w:numId w:val="0"/>
        </w:numPr>
        <w:spacing w:before="1" w:line="364" w:lineRule="auto"/>
        <w:ind w:left="1021" w:leftChars="0" w:right="619" w:rightChars="0"/>
        <w:jc w:val="both"/>
        <w:rPr>
          <w:rFonts w:hint="default" w:ascii="PMingLiU" w:hAnsi="PMingLiU" w:eastAsia="宋体" w:cs="PMingLiU"/>
          <w:b/>
          <w:bCs/>
          <w:lang w:val="en-US" w:eastAsia="zh-CN"/>
        </w:rPr>
      </w:pPr>
      <w:r>
        <w:rPr>
          <w:rFonts w:hint="eastAsia"/>
          <w:b/>
          <w:bCs/>
          <w:spacing w:val="-4"/>
          <w:lang w:val="en-US" w:eastAsia="zh-CN"/>
        </w:rPr>
        <w:t>5.</w:t>
      </w:r>
      <w:r>
        <w:rPr>
          <w:rFonts w:hint="eastAsia" w:ascii="PMingLiU" w:hAnsi="PMingLiU" w:eastAsia="PMingLiU" w:cs="PMingLiU"/>
          <w:b/>
          <w:bCs/>
        </w:rPr>
        <w:t>投资</w:t>
      </w:r>
      <w:r>
        <w:rPr>
          <w:rFonts w:hint="eastAsia" w:ascii="PMingLiU" w:hAnsi="PMingLiU" w:cs="PMingLiU"/>
          <w:b/>
          <w:bCs/>
          <w:lang w:val="en-US" w:eastAsia="zh-CN"/>
        </w:rPr>
        <w:t>者在此授权并同意管理人享有以下权利：</w:t>
      </w:r>
    </w:p>
    <w:p>
      <w:pPr>
        <w:pStyle w:val="6"/>
        <w:numPr>
          <w:ilvl w:val="0"/>
          <w:numId w:val="4"/>
        </w:numPr>
        <w:tabs>
          <w:tab w:val="left" w:pos="1623"/>
        </w:tabs>
        <w:spacing w:before="219" w:after="0" w:line="364" w:lineRule="auto"/>
        <w:ind w:left="541" w:right="619" w:firstLine="480"/>
        <w:jc w:val="left"/>
        <w:rPr>
          <w:b/>
          <w:bCs/>
          <w:sz w:val="24"/>
        </w:rPr>
      </w:pPr>
      <w:r>
        <w:rPr>
          <w:b/>
          <w:bCs/>
          <w:spacing w:val="-2"/>
          <w:sz w:val="24"/>
        </w:rPr>
        <w:t>根据法律法规和监管规定，以其固有财产先行垫付因处理本理财产品相</w:t>
      </w:r>
      <w:r>
        <w:rPr>
          <w:b/>
          <w:bCs/>
          <w:sz w:val="24"/>
        </w:rPr>
        <w:t>关事务所支出的理财产品费用及税费的，对理财产品资金享有优先受偿的权利。</w:t>
      </w:r>
    </w:p>
    <w:p>
      <w:pPr>
        <w:pStyle w:val="6"/>
        <w:numPr>
          <w:ilvl w:val="0"/>
          <w:numId w:val="4"/>
        </w:numPr>
        <w:tabs>
          <w:tab w:val="left" w:pos="1623"/>
        </w:tabs>
        <w:spacing w:before="1" w:after="0" w:line="364" w:lineRule="auto"/>
        <w:ind w:left="541" w:right="619" w:firstLine="480"/>
        <w:jc w:val="both"/>
        <w:rPr>
          <w:b/>
          <w:bCs/>
          <w:sz w:val="24"/>
        </w:rPr>
      </w:pPr>
      <w:r>
        <w:rPr>
          <w:b/>
          <w:bCs/>
          <w:spacing w:val="-3"/>
          <w:sz w:val="24"/>
        </w:rPr>
        <w:t>在理财产品投资过程中发生任何争议，代表理财产品进行维权，行使包</w:t>
      </w:r>
      <w:r>
        <w:rPr>
          <w:b/>
          <w:bCs/>
          <w:sz w:val="24"/>
        </w:rPr>
        <w:t>括但不限于提起诉讼/仲裁、申请保全/执行等权利，由此产生的费用由理财产品承担。</w:t>
      </w:r>
    </w:p>
    <w:p>
      <w:pPr>
        <w:pStyle w:val="6"/>
        <w:numPr>
          <w:ilvl w:val="0"/>
          <w:numId w:val="4"/>
        </w:numPr>
        <w:tabs>
          <w:tab w:val="left" w:pos="1623"/>
        </w:tabs>
        <w:spacing w:before="2" w:after="0" w:line="364" w:lineRule="auto"/>
        <w:ind w:left="541" w:right="499" w:firstLine="480"/>
        <w:jc w:val="left"/>
        <w:rPr>
          <w:b/>
          <w:bCs/>
          <w:sz w:val="24"/>
        </w:rPr>
      </w:pPr>
      <w:r>
        <w:rPr>
          <w:b/>
          <w:bCs/>
          <w:spacing w:val="-5"/>
          <w:sz w:val="24"/>
        </w:rPr>
        <w:t>由于投资管理或者获取投资标的的需要，支付投后管理费、项目推荐费</w:t>
      </w:r>
      <w:r>
        <w:rPr>
          <w:b/>
          <w:bCs/>
          <w:spacing w:val="-4"/>
          <w:sz w:val="24"/>
        </w:rPr>
        <w:t>、财务顾问费等相关费用。</w:t>
      </w:r>
    </w:p>
    <w:p>
      <w:pPr>
        <w:pStyle w:val="3"/>
        <w:spacing w:before="1" w:line="364" w:lineRule="auto"/>
        <w:ind w:right="619" w:firstLine="480"/>
        <w:jc w:val="both"/>
        <w:rPr>
          <w:b/>
          <w:bCs/>
        </w:rPr>
      </w:pPr>
      <w:r>
        <w:rPr>
          <w:rFonts w:hint="eastAsia"/>
          <w:b/>
          <w:bCs/>
          <w:lang w:val="en-US" w:eastAsia="zh-CN"/>
        </w:rPr>
        <w:t>6.</w:t>
      </w:r>
      <w:r>
        <w:rPr>
          <w:b/>
          <w:bCs/>
        </w:rPr>
        <w:t>产品管理人按照理财产品合同的约定办理理财产品的认（申）购、赎回， 暂停或者开放认（申）购、赎回等业务的，将按照理财产品合同约定的信息披露方式向投资者说明具体原因和依据。</w:t>
      </w:r>
    </w:p>
    <w:bookmarkEnd w:id="3"/>
    <w:p>
      <w:pPr>
        <w:pStyle w:val="3"/>
        <w:spacing w:before="2"/>
        <w:ind w:left="1021"/>
      </w:pPr>
      <w:r>
        <w:rPr>
          <w:rFonts w:hint="eastAsia"/>
          <w:lang w:val="en-US" w:eastAsia="zh-CN"/>
        </w:rPr>
        <w:t>四</w:t>
      </w:r>
      <w:r>
        <w:t>、适用法律与争议解决</w:t>
      </w:r>
    </w:p>
    <w:p>
      <w:pPr>
        <w:pStyle w:val="3"/>
        <w:spacing w:before="160" w:line="364" w:lineRule="auto"/>
        <w:ind w:right="489" w:firstLine="480"/>
      </w:pPr>
      <w:r>
        <w:t>本理财产品</w:t>
      </w:r>
      <w:r>
        <w:rPr>
          <w:rFonts w:hint="eastAsia"/>
          <w:lang w:val="en-US" w:eastAsia="zh-CN"/>
        </w:rPr>
        <w:t>协议</w:t>
      </w:r>
      <w:r>
        <w:t>适用中华人民共和国法律（为本理财产品合同目的，不包括香港特别行政区、澳门特别行政区和台湾地区）。本理财产品合同项下一切争议， 双方协商不成的，应向产品管理人所在地有管辖权的人民法院提起诉讼，双方在本理财产品合同或补充协议中另有约定的除外。诉讼期间，未涉及争议的条款仍需履行。</w:t>
      </w:r>
    </w:p>
    <w:p>
      <w:pPr>
        <w:pStyle w:val="3"/>
        <w:spacing w:before="3"/>
        <w:ind w:left="961"/>
      </w:pPr>
      <w:r>
        <w:rPr>
          <w:rFonts w:hint="eastAsia"/>
          <w:lang w:val="en-US" w:eastAsia="zh-CN"/>
        </w:rPr>
        <w:t>五</w:t>
      </w:r>
      <w:r>
        <w:t>、其他</w:t>
      </w:r>
    </w:p>
    <w:p>
      <w:pPr>
        <w:pStyle w:val="3"/>
        <w:spacing w:before="161"/>
        <w:ind w:left="901"/>
      </w:pPr>
      <w:r>
        <w:t>（一）投资者确认其已了解本产品所对应的理财产品</w:t>
      </w:r>
      <w:r>
        <w:rPr>
          <w:rFonts w:hint="eastAsia"/>
          <w:lang w:val="en-US" w:eastAsia="zh-CN"/>
        </w:rPr>
        <w:t>协议</w:t>
      </w:r>
      <w:r>
        <w:t>的构成与相关内容，</w:t>
      </w:r>
    </w:p>
    <w:p>
      <w:pPr>
        <w:pStyle w:val="3"/>
        <w:spacing w:before="160" w:line="364" w:lineRule="auto"/>
        <w:ind w:right="619"/>
      </w:pPr>
      <w:r>
        <w:t>《风险揭示书》、《投资协议书》、《理财产品说明书》、《投资者权益须知》</w:t>
      </w:r>
      <w:r>
        <w:rPr>
          <w:rFonts w:hint="eastAsia"/>
          <w:lang w:eastAsia="zh-CN"/>
        </w:rPr>
        <w:t>《</w:t>
      </w:r>
      <w:r>
        <w:rPr>
          <w:rFonts w:hint="eastAsia"/>
          <w:lang w:val="en-US" w:eastAsia="zh-CN"/>
        </w:rPr>
        <w:t>产品协议书</w:t>
      </w:r>
      <w:r>
        <w:rPr>
          <w:rFonts w:hint="eastAsia"/>
          <w:lang w:eastAsia="zh-CN"/>
        </w:rPr>
        <w:t>》</w:t>
      </w:r>
      <w:r>
        <w:t>等有关文件共同构成一份完整且不可分割的理财产品</w:t>
      </w:r>
      <w:r>
        <w:rPr>
          <w:rFonts w:hint="eastAsia"/>
          <w:lang w:val="en-US" w:eastAsia="zh-CN"/>
        </w:rPr>
        <w:t>销售文件</w:t>
      </w:r>
      <w:r>
        <w:t>，具有同等效力。</w:t>
      </w:r>
    </w:p>
    <w:p>
      <w:pPr>
        <w:pStyle w:val="3"/>
        <w:spacing w:before="1"/>
        <w:ind w:left="901"/>
      </w:pPr>
      <w:r>
        <w:t>（二）投资者签署本协议即视为投资者已经阅读并认可理财产品</w:t>
      </w:r>
      <w:r>
        <w:rPr>
          <w:rFonts w:hint="eastAsia"/>
          <w:lang w:val="en-US" w:eastAsia="zh-CN"/>
        </w:rPr>
        <w:t>销售文件</w:t>
      </w:r>
      <w:r>
        <w:t>（包括但</w:t>
      </w:r>
    </w:p>
    <w:p>
      <w:pPr>
        <w:pStyle w:val="3"/>
        <w:spacing w:before="135" w:line="364" w:lineRule="auto"/>
        <w:ind w:right="619"/>
      </w:pPr>
      <w:r>
        <w:t>不限于《风险揭示书》、《投资协议书》、《理财产品说明书》、《投资者权益须知》</w:t>
      </w:r>
      <w:r>
        <w:rPr>
          <w:rFonts w:hint="eastAsia"/>
          <w:lang w:eastAsia="zh-CN"/>
        </w:rPr>
        <w:t>《</w:t>
      </w:r>
      <w:r>
        <w:rPr>
          <w:rFonts w:hint="eastAsia"/>
          <w:lang w:val="en-US" w:eastAsia="zh-CN"/>
        </w:rPr>
        <w:t>产品协议书</w:t>
      </w:r>
      <w:r>
        <w:rPr>
          <w:rFonts w:hint="eastAsia"/>
          <w:lang w:eastAsia="zh-CN"/>
        </w:rPr>
        <w:t>》</w:t>
      </w:r>
      <w:r>
        <w:t>等文件）的全部内容，并已就投资于本产品做出独立的判断。</w:t>
      </w:r>
    </w:p>
    <w:p>
      <w:pPr>
        <w:pStyle w:val="3"/>
        <w:spacing w:before="1"/>
        <w:ind w:left="1021"/>
      </w:pPr>
      <w:r>
        <w:rPr>
          <w:rFonts w:hint="eastAsia"/>
          <w:lang w:val="en-US" w:eastAsia="zh-CN"/>
        </w:rPr>
        <w:t>六</w:t>
      </w:r>
      <w:r>
        <w:t>、生效条款</w:t>
      </w:r>
    </w:p>
    <w:p>
      <w:pPr>
        <w:pStyle w:val="3"/>
        <w:spacing w:before="7"/>
        <w:ind w:left="0"/>
        <w:rPr>
          <w:sz w:val="18"/>
        </w:rPr>
      </w:pPr>
    </w:p>
    <w:p>
      <w:pPr>
        <w:pStyle w:val="3"/>
        <w:spacing w:before="160" w:line="364" w:lineRule="auto"/>
        <w:ind w:right="619"/>
      </w:pPr>
      <w:r>
        <w:t>本理财产品合同经个人投资者签名</w:t>
      </w:r>
      <w:r>
        <w:rPr>
          <w:rFonts w:hint="eastAsia"/>
          <w:lang w:eastAsia="zh-CN"/>
        </w:rPr>
        <w:t>，</w:t>
      </w:r>
      <w:r>
        <w:t>缴纳认购或申购资金并经管理人登记系统确认份额后生效。</w:t>
      </w:r>
    </w:p>
    <w:p>
      <w:pPr>
        <w:pStyle w:val="3"/>
        <w:spacing w:before="160" w:line="364" w:lineRule="auto"/>
        <w:ind w:right="619"/>
        <w:rPr>
          <w:rFonts w:hint="eastAsia"/>
          <w:lang w:val="en-US" w:eastAsia="zh-CN"/>
        </w:rPr>
        <w:sectPr>
          <w:pgSz w:w="11910" w:h="16840"/>
          <w:pgMar w:top="1380" w:right="1080" w:bottom="1440" w:left="1160" w:header="882" w:footer="1247" w:gutter="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541" w:hanging="601"/>
        <w:jc w:val="left"/>
      </w:pPr>
      <w:rPr>
        <w:rFonts w:hint="default" w:ascii="宋体" w:hAnsi="宋体" w:eastAsia="宋体" w:cs="宋体"/>
        <w:spacing w:val="-10"/>
        <w:w w:val="100"/>
        <w:sz w:val="22"/>
        <w:szCs w:val="22"/>
        <w:lang w:val="en-US" w:eastAsia="zh-CN" w:bidi="ar-SA"/>
      </w:rPr>
    </w:lvl>
    <w:lvl w:ilvl="1" w:tentative="0">
      <w:start w:val="0"/>
      <w:numFmt w:val="bullet"/>
      <w:lvlText w:val="•"/>
      <w:lvlJc w:val="left"/>
      <w:pPr>
        <w:ind w:left="1452" w:hanging="601"/>
      </w:pPr>
      <w:rPr>
        <w:rFonts w:hint="default"/>
        <w:lang w:val="en-US" w:eastAsia="zh-CN" w:bidi="ar-SA"/>
      </w:rPr>
    </w:lvl>
    <w:lvl w:ilvl="2" w:tentative="0">
      <w:start w:val="0"/>
      <w:numFmt w:val="bullet"/>
      <w:lvlText w:val="•"/>
      <w:lvlJc w:val="left"/>
      <w:pPr>
        <w:ind w:left="2365" w:hanging="601"/>
      </w:pPr>
      <w:rPr>
        <w:rFonts w:hint="default"/>
        <w:lang w:val="en-US" w:eastAsia="zh-CN" w:bidi="ar-SA"/>
      </w:rPr>
    </w:lvl>
    <w:lvl w:ilvl="3" w:tentative="0">
      <w:start w:val="0"/>
      <w:numFmt w:val="bullet"/>
      <w:lvlText w:val="•"/>
      <w:lvlJc w:val="left"/>
      <w:pPr>
        <w:ind w:left="3277" w:hanging="601"/>
      </w:pPr>
      <w:rPr>
        <w:rFonts w:hint="default"/>
        <w:lang w:val="en-US" w:eastAsia="zh-CN" w:bidi="ar-SA"/>
      </w:rPr>
    </w:lvl>
    <w:lvl w:ilvl="4" w:tentative="0">
      <w:start w:val="0"/>
      <w:numFmt w:val="bullet"/>
      <w:lvlText w:val="•"/>
      <w:lvlJc w:val="left"/>
      <w:pPr>
        <w:ind w:left="4190" w:hanging="601"/>
      </w:pPr>
      <w:rPr>
        <w:rFonts w:hint="default"/>
        <w:lang w:val="en-US" w:eastAsia="zh-CN" w:bidi="ar-SA"/>
      </w:rPr>
    </w:lvl>
    <w:lvl w:ilvl="5" w:tentative="0">
      <w:start w:val="0"/>
      <w:numFmt w:val="bullet"/>
      <w:lvlText w:val="•"/>
      <w:lvlJc w:val="left"/>
      <w:pPr>
        <w:ind w:left="5103" w:hanging="601"/>
      </w:pPr>
      <w:rPr>
        <w:rFonts w:hint="default"/>
        <w:lang w:val="en-US" w:eastAsia="zh-CN" w:bidi="ar-SA"/>
      </w:rPr>
    </w:lvl>
    <w:lvl w:ilvl="6" w:tentative="0">
      <w:start w:val="0"/>
      <w:numFmt w:val="bullet"/>
      <w:lvlText w:val="•"/>
      <w:lvlJc w:val="left"/>
      <w:pPr>
        <w:ind w:left="6015" w:hanging="601"/>
      </w:pPr>
      <w:rPr>
        <w:rFonts w:hint="default"/>
        <w:lang w:val="en-US" w:eastAsia="zh-CN" w:bidi="ar-SA"/>
      </w:rPr>
    </w:lvl>
    <w:lvl w:ilvl="7" w:tentative="0">
      <w:start w:val="0"/>
      <w:numFmt w:val="bullet"/>
      <w:lvlText w:val="•"/>
      <w:lvlJc w:val="left"/>
      <w:pPr>
        <w:ind w:left="6928" w:hanging="601"/>
      </w:pPr>
      <w:rPr>
        <w:rFonts w:hint="default"/>
        <w:lang w:val="en-US" w:eastAsia="zh-CN" w:bidi="ar-SA"/>
      </w:rPr>
    </w:lvl>
    <w:lvl w:ilvl="8" w:tentative="0">
      <w:start w:val="0"/>
      <w:numFmt w:val="bullet"/>
      <w:lvlText w:val="•"/>
      <w:lvlJc w:val="left"/>
      <w:pPr>
        <w:ind w:left="7840" w:hanging="601"/>
      </w:pPr>
      <w:rPr>
        <w:rFonts w:hint="default"/>
        <w:lang w:val="en-US" w:eastAsia="zh-CN" w:bidi="ar-SA"/>
      </w:rPr>
    </w:lvl>
  </w:abstractNum>
  <w:abstractNum w:abstractNumId="1">
    <w:nsid w:val="CF092B84"/>
    <w:multiLevelType w:val="multilevel"/>
    <w:tmpl w:val="CF092B84"/>
    <w:lvl w:ilvl="0" w:tentative="0">
      <w:start w:val="1"/>
      <w:numFmt w:val="decimal"/>
      <w:lvlText w:val="%1."/>
      <w:lvlJc w:val="left"/>
      <w:pPr>
        <w:ind w:left="541" w:hanging="243"/>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452" w:hanging="243"/>
      </w:pPr>
      <w:rPr>
        <w:rFonts w:hint="default"/>
        <w:lang w:val="en-US" w:eastAsia="zh-CN" w:bidi="ar-SA"/>
      </w:rPr>
    </w:lvl>
    <w:lvl w:ilvl="2" w:tentative="0">
      <w:start w:val="0"/>
      <w:numFmt w:val="bullet"/>
      <w:lvlText w:val="•"/>
      <w:lvlJc w:val="left"/>
      <w:pPr>
        <w:ind w:left="2365" w:hanging="243"/>
      </w:pPr>
      <w:rPr>
        <w:rFonts w:hint="default"/>
        <w:lang w:val="en-US" w:eastAsia="zh-CN" w:bidi="ar-SA"/>
      </w:rPr>
    </w:lvl>
    <w:lvl w:ilvl="3" w:tentative="0">
      <w:start w:val="0"/>
      <w:numFmt w:val="bullet"/>
      <w:lvlText w:val="•"/>
      <w:lvlJc w:val="left"/>
      <w:pPr>
        <w:ind w:left="3277" w:hanging="243"/>
      </w:pPr>
      <w:rPr>
        <w:rFonts w:hint="default"/>
        <w:lang w:val="en-US" w:eastAsia="zh-CN" w:bidi="ar-SA"/>
      </w:rPr>
    </w:lvl>
    <w:lvl w:ilvl="4" w:tentative="0">
      <w:start w:val="0"/>
      <w:numFmt w:val="bullet"/>
      <w:lvlText w:val="•"/>
      <w:lvlJc w:val="left"/>
      <w:pPr>
        <w:ind w:left="4190" w:hanging="243"/>
      </w:pPr>
      <w:rPr>
        <w:rFonts w:hint="default"/>
        <w:lang w:val="en-US" w:eastAsia="zh-CN" w:bidi="ar-SA"/>
      </w:rPr>
    </w:lvl>
    <w:lvl w:ilvl="5" w:tentative="0">
      <w:start w:val="0"/>
      <w:numFmt w:val="bullet"/>
      <w:lvlText w:val="•"/>
      <w:lvlJc w:val="left"/>
      <w:pPr>
        <w:ind w:left="5103" w:hanging="243"/>
      </w:pPr>
      <w:rPr>
        <w:rFonts w:hint="default"/>
        <w:lang w:val="en-US" w:eastAsia="zh-CN" w:bidi="ar-SA"/>
      </w:rPr>
    </w:lvl>
    <w:lvl w:ilvl="6" w:tentative="0">
      <w:start w:val="0"/>
      <w:numFmt w:val="bullet"/>
      <w:lvlText w:val="•"/>
      <w:lvlJc w:val="left"/>
      <w:pPr>
        <w:ind w:left="6015" w:hanging="243"/>
      </w:pPr>
      <w:rPr>
        <w:rFonts w:hint="default"/>
        <w:lang w:val="en-US" w:eastAsia="zh-CN" w:bidi="ar-SA"/>
      </w:rPr>
    </w:lvl>
    <w:lvl w:ilvl="7" w:tentative="0">
      <w:start w:val="0"/>
      <w:numFmt w:val="bullet"/>
      <w:lvlText w:val="•"/>
      <w:lvlJc w:val="left"/>
      <w:pPr>
        <w:ind w:left="6928" w:hanging="243"/>
      </w:pPr>
      <w:rPr>
        <w:rFonts w:hint="default"/>
        <w:lang w:val="en-US" w:eastAsia="zh-CN" w:bidi="ar-SA"/>
      </w:rPr>
    </w:lvl>
    <w:lvl w:ilvl="8" w:tentative="0">
      <w:start w:val="0"/>
      <w:numFmt w:val="bullet"/>
      <w:lvlText w:val="•"/>
      <w:lvlJc w:val="left"/>
      <w:pPr>
        <w:ind w:left="7840" w:hanging="243"/>
      </w:pPr>
      <w:rPr>
        <w:rFonts w:hint="default"/>
        <w:lang w:val="en-US" w:eastAsia="zh-CN" w:bidi="ar-SA"/>
      </w:rPr>
    </w:lvl>
  </w:abstractNum>
  <w:abstractNum w:abstractNumId="2">
    <w:nsid w:val="0053208E"/>
    <w:multiLevelType w:val="multilevel"/>
    <w:tmpl w:val="0053208E"/>
    <w:lvl w:ilvl="0" w:tentative="0">
      <w:start w:val="1"/>
      <w:numFmt w:val="decimal"/>
      <w:lvlText w:val="%1."/>
      <w:lvlJc w:val="left"/>
      <w:pPr>
        <w:ind w:left="541" w:hanging="243"/>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452" w:hanging="243"/>
      </w:pPr>
      <w:rPr>
        <w:rFonts w:hint="default"/>
        <w:lang w:val="en-US" w:eastAsia="zh-CN" w:bidi="ar-SA"/>
      </w:rPr>
    </w:lvl>
    <w:lvl w:ilvl="2" w:tentative="0">
      <w:start w:val="0"/>
      <w:numFmt w:val="bullet"/>
      <w:lvlText w:val="•"/>
      <w:lvlJc w:val="left"/>
      <w:pPr>
        <w:ind w:left="2365" w:hanging="243"/>
      </w:pPr>
      <w:rPr>
        <w:rFonts w:hint="default"/>
        <w:lang w:val="en-US" w:eastAsia="zh-CN" w:bidi="ar-SA"/>
      </w:rPr>
    </w:lvl>
    <w:lvl w:ilvl="3" w:tentative="0">
      <w:start w:val="0"/>
      <w:numFmt w:val="bullet"/>
      <w:lvlText w:val="•"/>
      <w:lvlJc w:val="left"/>
      <w:pPr>
        <w:ind w:left="3277" w:hanging="243"/>
      </w:pPr>
      <w:rPr>
        <w:rFonts w:hint="default"/>
        <w:lang w:val="en-US" w:eastAsia="zh-CN" w:bidi="ar-SA"/>
      </w:rPr>
    </w:lvl>
    <w:lvl w:ilvl="4" w:tentative="0">
      <w:start w:val="0"/>
      <w:numFmt w:val="bullet"/>
      <w:lvlText w:val="•"/>
      <w:lvlJc w:val="left"/>
      <w:pPr>
        <w:ind w:left="4190" w:hanging="243"/>
      </w:pPr>
      <w:rPr>
        <w:rFonts w:hint="default"/>
        <w:lang w:val="en-US" w:eastAsia="zh-CN" w:bidi="ar-SA"/>
      </w:rPr>
    </w:lvl>
    <w:lvl w:ilvl="5" w:tentative="0">
      <w:start w:val="0"/>
      <w:numFmt w:val="bullet"/>
      <w:lvlText w:val="•"/>
      <w:lvlJc w:val="left"/>
      <w:pPr>
        <w:ind w:left="5103" w:hanging="243"/>
      </w:pPr>
      <w:rPr>
        <w:rFonts w:hint="default"/>
        <w:lang w:val="en-US" w:eastAsia="zh-CN" w:bidi="ar-SA"/>
      </w:rPr>
    </w:lvl>
    <w:lvl w:ilvl="6" w:tentative="0">
      <w:start w:val="0"/>
      <w:numFmt w:val="bullet"/>
      <w:lvlText w:val="•"/>
      <w:lvlJc w:val="left"/>
      <w:pPr>
        <w:ind w:left="6015" w:hanging="243"/>
      </w:pPr>
      <w:rPr>
        <w:rFonts w:hint="default"/>
        <w:lang w:val="en-US" w:eastAsia="zh-CN" w:bidi="ar-SA"/>
      </w:rPr>
    </w:lvl>
    <w:lvl w:ilvl="7" w:tentative="0">
      <w:start w:val="0"/>
      <w:numFmt w:val="bullet"/>
      <w:lvlText w:val="•"/>
      <w:lvlJc w:val="left"/>
      <w:pPr>
        <w:ind w:left="6928" w:hanging="243"/>
      </w:pPr>
      <w:rPr>
        <w:rFonts w:hint="default"/>
        <w:lang w:val="en-US" w:eastAsia="zh-CN" w:bidi="ar-SA"/>
      </w:rPr>
    </w:lvl>
    <w:lvl w:ilvl="8" w:tentative="0">
      <w:start w:val="0"/>
      <w:numFmt w:val="bullet"/>
      <w:lvlText w:val="•"/>
      <w:lvlJc w:val="left"/>
      <w:pPr>
        <w:ind w:left="7840" w:hanging="243"/>
      </w:pPr>
      <w:rPr>
        <w:rFonts w:hint="default"/>
        <w:lang w:val="en-US" w:eastAsia="zh-CN" w:bidi="ar-SA"/>
      </w:rPr>
    </w:lvl>
  </w:abstractNum>
  <w:abstractNum w:abstractNumId="3">
    <w:nsid w:val="59ADCABA"/>
    <w:multiLevelType w:val="multilevel"/>
    <w:tmpl w:val="59ADCABA"/>
    <w:lvl w:ilvl="0" w:tentative="0">
      <w:start w:val="1"/>
      <w:numFmt w:val="decimal"/>
      <w:lvlText w:val="%1."/>
      <w:lvlJc w:val="left"/>
      <w:pPr>
        <w:ind w:left="541" w:hanging="243"/>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452" w:hanging="243"/>
      </w:pPr>
      <w:rPr>
        <w:rFonts w:hint="default"/>
        <w:lang w:val="en-US" w:eastAsia="zh-CN" w:bidi="ar-SA"/>
      </w:rPr>
    </w:lvl>
    <w:lvl w:ilvl="2" w:tentative="0">
      <w:start w:val="0"/>
      <w:numFmt w:val="bullet"/>
      <w:lvlText w:val="•"/>
      <w:lvlJc w:val="left"/>
      <w:pPr>
        <w:ind w:left="2365" w:hanging="243"/>
      </w:pPr>
      <w:rPr>
        <w:rFonts w:hint="default"/>
        <w:lang w:val="en-US" w:eastAsia="zh-CN" w:bidi="ar-SA"/>
      </w:rPr>
    </w:lvl>
    <w:lvl w:ilvl="3" w:tentative="0">
      <w:start w:val="0"/>
      <w:numFmt w:val="bullet"/>
      <w:lvlText w:val="•"/>
      <w:lvlJc w:val="left"/>
      <w:pPr>
        <w:ind w:left="3277" w:hanging="243"/>
      </w:pPr>
      <w:rPr>
        <w:rFonts w:hint="default"/>
        <w:lang w:val="en-US" w:eastAsia="zh-CN" w:bidi="ar-SA"/>
      </w:rPr>
    </w:lvl>
    <w:lvl w:ilvl="4" w:tentative="0">
      <w:start w:val="0"/>
      <w:numFmt w:val="bullet"/>
      <w:lvlText w:val="•"/>
      <w:lvlJc w:val="left"/>
      <w:pPr>
        <w:ind w:left="4190" w:hanging="243"/>
      </w:pPr>
      <w:rPr>
        <w:rFonts w:hint="default"/>
        <w:lang w:val="en-US" w:eastAsia="zh-CN" w:bidi="ar-SA"/>
      </w:rPr>
    </w:lvl>
    <w:lvl w:ilvl="5" w:tentative="0">
      <w:start w:val="0"/>
      <w:numFmt w:val="bullet"/>
      <w:lvlText w:val="•"/>
      <w:lvlJc w:val="left"/>
      <w:pPr>
        <w:ind w:left="5103" w:hanging="243"/>
      </w:pPr>
      <w:rPr>
        <w:rFonts w:hint="default"/>
        <w:lang w:val="en-US" w:eastAsia="zh-CN" w:bidi="ar-SA"/>
      </w:rPr>
    </w:lvl>
    <w:lvl w:ilvl="6" w:tentative="0">
      <w:start w:val="0"/>
      <w:numFmt w:val="bullet"/>
      <w:lvlText w:val="•"/>
      <w:lvlJc w:val="left"/>
      <w:pPr>
        <w:ind w:left="6015" w:hanging="243"/>
      </w:pPr>
      <w:rPr>
        <w:rFonts w:hint="default"/>
        <w:lang w:val="en-US" w:eastAsia="zh-CN" w:bidi="ar-SA"/>
      </w:rPr>
    </w:lvl>
    <w:lvl w:ilvl="7" w:tentative="0">
      <w:start w:val="0"/>
      <w:numFmt w:val="bullet"/>
      <w:lvlText w:val="•"/>
      <w:lvlJc w:val="left"/>
      <w:pPr>
        <w:ind w:left="6928" w:hanging="243"/>
      </w:pPr>
      <w:rPr>
        <w:rFonts w:hint="default"/>
        <w:lang w:val="en-US" w:eastAsia="zh-CN" w:bidi="ar-SA"/>
      </w:rPr>
    </w:lvl>
    <w:lvl w:ilvl="8" w:tentative="0">
      <w:start w:val="0"/>
      <w:numFmt w:val="bullet"/>
      <w:lvlText w:val="•"/>
      <w:lvlJc w:val="left"/>
      <w:pPr>
        <w:ind w:left="7840" w:hanging="243"/>
      </w:pPr>
      <w:rPr>
        <w:rFonts w:hint="default"/>
        <w:lang w:val="en-US" w:eastAsia="zh-CN"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E5CF2"/>
    <w:rsid w:val="020F6AC5"/>
    <w:rsid w:val="10AC5F99"/>
    <w:rsid w:val="18264088"/>
    <w:rsid w:val="18E71401"/>
    <w:rsid w:val="32870B59"/>
    <w:rsid w:val="41CC7FD6"/>
    <w:rsid w:val="4A601C0B"/>
    <w:rsid w:val="4B713B8F"/>
    <w:rsid w:val="4F7F6FAF"/>
    <w:rsid w:val="4F9D7B93"/>
    <w:rsid w:val="57B656BC"/>
    <w:rsid w:val="65D17E1B"/>
    <w:rsid w:val="71AE5CF2"/>
    <w:rsid w:val="74862FFA"/>
    <w:rsid w:val="7BB64422"/>
    <w:rsid w:val="7D98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line="500" w:lineRule="exact"/>
      <w:ind w:left="1894" w:right="1971"/>
      <w:jc w:val="center"/>
      <w:outlineLvl w:val="1"/>
    </w:pPr>
    <w:rPr>
      <w:rFonts w:ascii="微软雅黑" w:hAnsi="微软雅黑" w:eastAsia="微软雅黑" w:cs="微软雅黑"/>
      <w:b/>
      <w:bCs/>
      <w:sz w:val="28"/>
      <w:szCs w:val="28"/>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541"/>
    </w:pPr>
    <w:rPr>
      <w:rFonts w:ascii="宋体" w:hAnsi="宋体" w:eastAsia="宋体" w:cs="宋体"/>
      <w:sz w:val="24"/>
      <w:szCs w:val="24"/>
      <w:lang w:val="en-US" w:eastAsia="zh-CN" w:bidi="ar-SA"/>
    </w:rPr>
  </w:style>
  <w:style w:type="paragraph" w:styleId="6">
    <w:name w:val="List Paragraph"/>
    <w:basedOn w:val="1"/>
    <w:qFormat/>
    <w:uiPriority w:val="1"/>
    <w:pPr>
      <w:spacing w:before="160"/>
      <w:ind w:left="541" w:firstLine="48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2021-06-30T06:38:00Z</dcterms:created>
  <dc:creator>李卓然</dc:creator>
  <cp:lastModifiedBy>李卓然</cp:lastModifiedBy>
  <dcterms:modified xsi:type="dcterms:W3CDTF">2021-07-02T08:36:33Z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