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Cs w:val="21"/>
        </w:rPr>
      </w:pPr>
    </w:p>
    <w:p>
      <w:pPr>
        <w:ind w:left="46"/>
        <w:jc w:val="center"/>
        <w:rPr>
          <w:rFonts w:ascii="黑体" w:eastAsia="黑体"/>
          <w:sz w:val="30"/>
        </w:rPr>
      </w:pPr>
      <w:r>
        <w:rPr>
          <w:rFonts w:hint="eastAsia" w:ascii="黑体" w:eastAsia="黑体"/>
          <w:sz w:val="30"/>
        </w:rPr>
        <w:t>银行理财产品介绍</w:t>
      </w:r>
    </w:p>
    <w:p>
      <w:pPr>
        <w:tabs>
          <w:tab w:val="left" w:pos="9291"/>
        </w:tabs>
        <w:spacing w:before="19"/>
        <w:ind w:left="538"/>
        <w:jc w:val="left"/>
        <w:rPr>
          <w:rFonts w:ascii="黑体" w:eastAsia="黑体"/>
          <w:sz w:val="24"/>
        </w:rPr>
      </w:pPr>
      <w:r>
        <w:rPr>
          <w:rFonts w:hint="eastAsia" w:ascii="黑体" w:eastAsia="黑体"/>
          <w:color w:val="FF0000"/>
          <w:sz w:val="24"/>
        </w:rPr>
        <w:t>理财非存款</w:t>
      </w:r>
      <w:r>
        <w:rPr>
          <w:rFonts w:hint="eastAsia" w:ascii="黑体" w:eastAsia="黑体"/>
          <w:color w:val="FF0000"/>
          <w:spacing w:val="-44"/>
          <w:sz w:val="24"/>
        </w:rPr>
        <w:t>，</w:t>
      </w:r>
      <w:r>
        <w:rPr>
          <w:rFonts w:hint="eastAsia" w:ascii="黑体" w:eastAsia="黑体"/>
          <w:color w:val="FF0000"/>
          <w:sz w:val="24"/>
        </w:rPr>
        <w:t>产品有风险</w:t>
      </w:r>
      <w:r>
        <w:rPr>
          <w:rFonts w:hint="eastAsia" w:ascii="黑体" w:eastAsia="黑体"/>
          <w:color w:val="FF0000"/>
          <w:spacing w:val="-41"/>
          <w:sz w:val="24"/>
        </w:rPr>
        <w:t>，</w:t>
      </w:r>
      <w:r>
        <w:rPr>
          <w:rFonts w:hint="eastAsia" w:ascii="黑体" w:eastAsia="黑体"/>
          <w:color w:val="FF0000"/>
          <w:sz w:val="24"/>
        </w:rPr>
        <w:t>投资须谨慎。</w:t>
      </w:r>
      <w:r>
        <w:rPr>
          <w:rFonts w:hint="eastAsia" w:ascii="黑体" w:eastAsia="黑体"/>
          <w:sz w:val="24"/>
        </w:rPr>
        <w:t>版本：2021年6月第1版</w:t>
      </w: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1710"/>
        <w:gridCol w:w="1457"/>
        <w:gridCol w:w="129"/>
        <w:gridCol w:w="1790"/>
        <w:gridCol w:w="1201"/>
        <w:gridCol w:w="487"/>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94" w:hRule="atLeast"/>
        </w:trPr>
        <w:tc>
          <w:tcPr>
            <w:tcW w:w="10120" w:type="dxa"/>
            <w:gridSpan w:val="8"/>
            <w:shd w:val="clear" w:color="auto" w:fill="95B3D6"/>
          </w:tcPr>
          <w:p>
            <w:pPr>
              <w:pStyle w:val="13"/>
              <w:spacing w:before="120"/>
              <w:ind w:left="2496" w:right="2490"/>
              <w:jc w:val="center"/>
              <w:rPr>
                <w:b/>
                <w:sz w:val="28"/>
              </w:rPr>
            </w:pPr>
            <w:r>
              <w:rPr>
                <w:b/>
                <w:sz w:val="28"/>
              </w:rPr>
              <w:t>重要提示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10120" w:type="dxa"/>
            <w:gridSpan w:val="8"/>
          </w:tcPr>
          <w:p>
            <w:pPr>
              <w:pStyle w:val="13"/>
              <w:spacing w:before="68" w:line="364" w:lineRule="auto"/>
              <w:ind w:left="107" w:right="60" w:firstLine="480"/>
              <w:rPr>
                <w:b/>
                <w:sz w:val="24"/>
              </w:rPr>
            </w:pPr>
            <w:r>
              <w:rPr>
                <w:b/>
                <w:sz w:val="24"/>
              </w:rPr>
              <w:t>《银行理财产品介绍》概述了本理财产品的主要条款及风险，仅供投资者做参考之用，本产品具体信息以销售文件为准。本介绍所载的全部内容不构成对投资者的直接投资建议，亦不作为购买银行理财产品的邀请。在您决定是否参与本产品前，您应当先阅读产品说明书，并重点关注本产品的主要风险。若您不了解本产品或无法承受投资本产品伴随的风险，请您不要投资。</w:t>
            </w:r>
          </w:p>
          <w:p>
            <w:pPr>
              <w:pStyle w:val="13"/>
              <w:spacing w:before="3"/>
              <w:ind w:left="107" w:firstLine="480"/>
              <w:rPr>
                <w:b/>
                <w:sz w:val="24"/>
              </w:rPr>
            </w:pPr>
            <w:r>
              <w:rPr>
                <w:b/>
                <w:sz w:val="24"/>
              </w:rPr>
              <w:t>依据《商业银行理财业务监督管理办法》和《商业银行理财子公司管理办法》规定，商业</w:t>
            </w:r>
          </w:p>
          <w:p>
            <w:pPr>
              <w:pStyle w:val="13"/>
              <w:spacing w:before="8" w:line="460" w:lineRule="atLeast"/>
              <w:ind w:left="107" w:right="122"/>
              <w:rPr>
                <w:b/>
                <w:sz w:val="24"/>
              </w:rPr>
            </w:pPr>
            <w:r>
              <w:rPr>
                <w:b/>
                <w:sz w:val="24"/>
              </w:rPr>
              <w:t>银行和商业银行理财子公司不得发行未在全国银行业理财信息登记系统进行登记并获得登记编码的理财产品。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120" w:type="dxa"/>
            <w:gridSpan w:val="8"/>
            <w:shd w:val="clear" w:color="auto" w:fill="95B3D6"/>
            <w:vAlign w:val="center"/>
          </w:tcPr>
          <w:p>
            <w:pPr>
              <w:pStyle w:val="13"/>
              <w:spacing w:before="122"/>
              <w:ind w:left="2496" w:right="2490"/>
              <w:jc w:val="center"/>
              <w:rPr>
                <w:b/>
                <w:sz w:val="28"/>
              </w:rPr>
            </w:pPr>
            <w:r>
              <w:rPr>
                <w:b/>
                <w:sz w:val="28"/>
              </w:rPr>
              <w:t>产品概要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0120" w:type="dxa"/>
            <w:gridSpan w:val="8"/>
            <w:shd w:val="clear" w:color="auto" w:fill="DBE4F0"/>
          </w:tcPr>
          <w:p>
            <w:pPr>
              <w:pStyle w:val="13"/>
              <w:spacing w:before="75"/>
              <w:ind w:left="2506" w:right="2490"/>
              <w:jc w:val="center"/>
              <w:rPr>
                <w:b/>
                <w:sz w:val="24"/>
              </w:rPr>
            </w:pPr>
            <w:r>
              <w:rPr>
                <w:b/>
                <w:sz w:val="24"/>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1659" w:type="dxa"/>
          </w:tcPr>
          <w:p>
            <w:pPr>
              <w:pStyle w:val="13"/>
              <w:spacing w:before="75"/>
              <w:ind w:left="207" w:right="195"/>
              <w:jc w:val="center"/>
              <w:rPr>
                <w:b/>
                <w:sz w:val="24"/>
              </w:rPr>
            </w:pPr>
            <w:r>
              <w:rPr>
                <w:b/>
                <w:sz w:val="24"/>
              </w:rPr>
              <w:t>产品名称</w:t>
            </w:r>
          </w:p>
        </w:tc>
        <w:tc>
          <w:tcPr>
            <w:tcW w:w="8461" w:type="dxa"/>
            <w:gridSpan w:val="7"/>
            <w:vAlign w:val="center"/>
          </w:tcPr>
          <w:p>
            <w:pPr>
              <w:pStyle w:val="13"/>
              <w:tabs>
                <w:tab w:val="left" w:pos="1906"/>
              </w:tabs>
              <w:spacing w:before="77"/>
              <w:ind w:firstLine="480" w:firstLineChars="200"/>
              <w:rPr>
                <w:lang w:eastAsia="zh-CN"/>
              </w:rPr>
            </w:pPr>
            <w:r>
              <w:rPr>
                <w:rFonts w:hint="eastAsia"/>
                <w:sz w:val="24"/>
              </w:rPr>
              <w:t>承德银行“</w:t>
            </w:r>
            <w:r>
              <w:rPr>
                <w:rFonts w:hint="eastAsia"/>
                <w:sz w:val="24"/>
                <w:lang w:val="en-US" w:eastAsia="zh-CN"/>
              </w:rPr>
              <w:t>承溢盈</w:t>
            </w:r>
            <w:r>
              <w:rPr>
                <w:rFonts w:hint="eastAsia"/>
                <w:sz w:val="24"/>
              </w:rPr>
              <w:t>”人民币理财产品</w:t>
            </w:r>
            <w:r>
              <w:rPr>
                <w:rFonts w:hint="eastAsia"/>
                <w:sz w:val="24"/>
                <w:lang w:eastAsia="zh-CN"/>
              </w:rPr>
              <w:t>第二百</w:t>
            </w:r>
            <w:r>
              <w:rPr>
                <w:rFonts w:hint="eastAsia"/>
                <w:sz w:val="24"/>
                <w:lang w:val="en-US" w:eastAsia="zh-CN"/>
              </w:rPr>
              <w:t>八十</w:t>
            </w:r>
            <w:r>
              <w:rPr>
                <w:rFonts w:hint="eastAsia"/>
                <w:sz w:val="24"/>
                <w:lang w:eastAsia="zh-CN"/>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rPr>
            </w:pPr>
            <w:r>
              <w:rPr>
                <w:b/>
                <w:sz w:val="24"/>
              </w:rPr>
              <w:t>产品代码</w:t>
            </w:r>
          </w:p>
        </w:tc>
        <w:tc>
          <w:tcPr>
            <w:tcW w:w="8461" w:type="dxa"/>
            <w:gridSpan w:val="7"/>
            <w:vAlign w:val="center"/>
          </w:tcPr>
          <w:p>
            <w:pPr>
              <w:pStyle w:val="13"/>
              <w:ind w:firstLine="480" w:firstLineChars="200"/>
              <w:rPr>
                <w:rFonts w:hint="default"/>
                <w:sz w:val="24"/>
                <w:lang w:val="en-US" w:eastAsia="zh-CN"/>
              </w:rPr>
            </w:pPr>
            <w:r>
              <w:rPr>
                <w:rFonts w:hint="eastAsia"/>
                <w:sz w:val="24"/>
                <w:lang w:val="en-US" w:eastAsia="zh-CN"/>
              </w:rPr>
              <w:t>CYY</w:t>
            </w:r>
            <w:r>
              <w:rPr>
                <w:rFonts w:hint="eastAsia"/>
                <w:sz w:val="24"/>
              </w:rPr>
              <w:t>0</w:t>
            </w:r>
            <w:r>
              <w:rPr>
                <w:rFonts w:hint="eastAsia"/>
                <w:sz w:val="24"/>
                <w:lang w:val="en-US" w:eastAsia="zh-CN"/>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75"/>
              <w:ind w:left="207" w:right="195"/>
              <w:jc w:val="center"/>
              <w:rPr>
                <w:b/>
                <w:sz w:val="24"/>
                <w:lang w:eastAsia="zh-CN"/>
              </w:rPr>
            </w:pPr>
            <w:r>
              <w:rPr>
                <w:b/>
                <w:sz w:val="24"/>
              </w:rPr>
              <w:t>登记编码</w:t>
            </w:r>
          </w:p>
        </w:tc>
        <w:tc>
          <w:tcPr>
            <w:tcW w:w="8461" w:type="dxa"/>
            <w:gridSpan w:val="7"/>
          </w:tcPr>
          <w:p>
            <w:pPr>
              <w:pStyle w:val="13"/>
              <w:ind w:firstLine="400" w:firstLineChars="400"/>
              <w:rPr>
                <w:rFonts w:hint="eastAsia" w:ascii="黑体"/>
                <w:sz w:val="10"/>
                <w:lang w:eastAsia="zh-CN"/>
              </w:rPr>
            </w:pPr>
          </w:p>
          <w:p>
            <w:pPr>
              <w:pStyle w:val="13"/>
              <w:ind w:firstLine="480" w:firstLineChars="200"/>
              <w:rPr>
                <w:rFonts w:ascii="黑体" w:eastAsia="黑体"/>
                <w:sz w:val="15"/>
              </w:rPr>
            </w:pPr>
            <w:bookmarkStart w:id="0" w:name="_GoBack"/>
            <w:r>
              <w:rPr>
                <w:rFonts w:hint="eastAsia"/>
                <w:sz w:val="24"/>
                <w:lang w:val="en-US" w:eastAsia="zh-CN"/>
              </w:rPr>
              <w:t>C</w:t>
            </w:r>
            <w:r>
              <w:rPr>
                <w:rFonts w:hint="eastAsia"/>
                <w:sz w:val="24"/>
                <w:lang w:val="en-US" w:eastAsia="zh-CN"/>
              </w:rPr>
              <w:t>10</w:t>
            </w:r>
            <w:bookmarkEnd w:id="0"/>
            <w:r>
              <w:rPr>
                <w:rFonts w:hint="eastAsia"/>
                <w:sz w:val="24"/>
                <w:lang w:val="en-US" w:eastAsia="zh-CN"/>
              </w:rPr>
              <w:t>89224000047</w:t>
            </w:r>
            <w:r>
              <w:rPr>
                <w:rFonts w:hint="eastAsia" w:ascii="黑体" w:eastAsia="黑体"/>
                <w:color w:val="FF0000"/>
                <w:sz w:val="15"/>
              </w:rPr>
              <w:t>注：投资者可依据登记编码在中国理财网(www.chinawealth.com.cn)查询产品信息。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5"/>
              <w:ind w:left="207" w:right="195"/>
              <w:jc w:val="center"/>
              <w:rPr>
                <w:b/>
                <w:sz w:val="24"/>
              </w:rPr>
            </w:pPr>
            <w:r>
              <w:rPr>
                <w:b/>
                <w:sz w:val="24"/>
              </w:rPr>
              <w:t>发行机构</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承德银行股份有限公司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659" w:type="dxa"/>
          </w:tcPr>
          <w:p>
            <w:pPr>
              <w:pStyle w:val="13"/>
              <w:spacing w:line="299" w:lineRule="exact"/>
              <w:ind w:left="349"/>
              <w:rPr>
                <w:b/>
                <w:sz w:val="24"/>
              </w:rPr>
            </w:pPr>
            <w:r>
              <w:rPr>
                <w:b/>
                <w:w w:val="95"/>
                <w:sz w:val="24"/>
              </w:rPr>
              <w:t>过往业绩</w:t>
            </w:r>
          </w:p>
          <w:p>
            <w:pPr>
              <w:pStyle w:val="13"/>
              <w:spacing w:before="4" w:line="301" w:lineRule="exact"/>
              <w:ind w:left="349"/>
              <w:rPr>
                <w:b/>
                <w:sz w:val="24"/>
              </w:rPr>
            </w:pPr>
            <w:r>
              <w:rPr>
                <w:b/>
                <w:w w:val="95"/>
                <w:sz w:val="24"/>
              </w:rPr>
              <w:t>（如有）</w:t>
            </w:r>
          </w:p>
        </w:tc>
        <w:tc>
          <w:tcPr>
            <w:tcW w:w="8461" w:type="dxa"/>
            <w:gridSpan w:val="7"/>
            <w:vAlign w:val="center"/>
          </w:tcPr>
          <w:p>
            <w:pPr>
              <w:pStyle w:val="13"/>
              <w:ind w:firstLine="480" w:firstLineChars="200"/>
              <w:rPr>
                <w:rFonts w:ascii="Times New Roman"/>
                <w:sz w:val="22"/>
                <w:lang w:val="en-US" w:eastAsia="zh-CN"/>
              </w:rPr>
            </w:pPr>
            <w:r>
              <w:rPr>
                <w:rFonts w:hint="eastAsia"/>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659" w:type="dxa"/>
          </w:tcPr>
          <w:p>
            <w:pPr>
              <w:pStyle w:val="13"/>
              <w:spacing w:before="77"/>
              <w:ind w:left="207" w:right="195"/>
              <w:jc w:val="center"/>
              <w:rPr>
                <w:b/>
                <w:sz w:val="24"/>
              </w:rPr>
            </w:pPr>
            <w:r>
              <w:rPr>
                <w:b/>
                <w:sz w:val="24"/>
              </w:rPr>
              <w:t>风险等级</w:t>
            </w:r>
          </w:p>
        </w:tc>
        <w:tc>
          <w:tcPr>
            <w:tcW w:w="8461" w:type="dxa"/>
            <w:gridSpan w:val="7"/>
            <w:vAlign w:val="center"/>
          </w:tcPr>
          <w:p>
            <w:pPr>
              <w:pStyle w:val="14"/>
              <w:tabs>
                <w:tab w:val="left" w:pos="1965"/>
              </w:tabs>
              <w:spacing w:before="81"/>
              <w:ind w:left="0" w:firstLine="240" w:firstLineChars="100"/>
              <w:rPr>
                <w:rFonts w:ascii="Times New Roman"/>
                <w:sz w:val="22"/>
              </w:rPr>
            </w:pPr>
            <w:r>
              <w:rPr>
                <w:rFonts w:hint="eastAsia"/>
                <w:sz w:val="24"/>
                <w:szCs w:val="22"/>
                <w:lang w:val="en-US" w:eastAsia="zh-CN"/>
              </w:rPr>
              <w:sym w:font="Wingdings" w:char="00A8"/>
            </w:r>
            <w:r>
              <w:rPr>
                <w:rFonts w:hint="eastAsia"/>
                <w:sz w:val="24"/>
                <w:szCs w:val="22"/>
                <w:lang w:val="en-US" w:eastAsia="zh-CN"/>
              </w:rPr>
              <w:t xml:space="preserve">一级（低） </w:t>
            </w:r>
            <w:r>
              <w:rPr>
                <w:rFonts w:hint="eastAsia"/>
                <w:sz w:val="24"/>
                <w:szCs w:val="22"/>
                <w:lang w:val="en-US" w:eastAsia="zh-CN"/>
              </w:rPr>
              <w:sym w:font="Wingdings" w:char="00FE"/>
            </w:r>
            <w:r>
              <w:rPr>
                <w:rFonts w:hint="eastAsia"/>
                <w:sz w:val="24"/>
                <w:szCs w:val="22"/>
                <w:lang w:val="en-US" w:eastAsia="zh-CN"/>
              </w:rPr>
              <w:t xml:space="preserve">二级（中低） </w:t>
            </w:r>
            <w:r>
              <w:rPr>
                <w:rFonts w:hint="eastAsia"/>
                <w:sz w:val="24"/>
                <w:szCs w:val="22"/>
                <w:lang w:val="en-US" w:eastAsia="zh-CN"/>
              </w:rPr>
              <w:sym w:font="Wingdings" w:char="00A8"/>
            </w:r>
            <w:r>
              <w:rPr>
                <w:rFonts w:hint="eastAsia"/>
                <w:sz w:val="24"/>
                <w:szCs w:val="22"/>
                <w:lang w:val="en-US" w:eastAsia="zh-CN"/>
              </w:rPr>
              <w:t xml:space="preserve">三级（中） </w:t>
            </w:r>
            <w:r>
              <w:rPr>
                <w:rFonts w:hint="eastAsia"/>
                <w:sz w:val="24"/>
                <w:szCs w:val="22"/>
                <w:lang w:val="en-US" w:eastAsia="zh-CN"/>
              </w:rPr>
              <w:sym w:font="Wingdings" w:char="00A8"/>
            </w:r>
            <w:r>
              <w:rPr>
                <w:rFonts w:hint="eastAsia"/>
                <w:sz w:val="24"/>
                <w:szCs w:val="22"/>
                <w:lang w:val="en-US" w:eastAsia="zh-CN"/>
              </w:rPr>
              <w:t xml:space="preserve">四级（中高） </w:t>
            </w:r>
            <w:r>
              <w:rPr>
                <w:rFonts w:hint="eastAsia"/>
                <w:sz w:val="24"/>
                <w:szCs w:val="22"/>
                <w:lang w:val="en-US" w:eastAsia="zh-CN"/>
              </w:rPr>
              <w:sym w:font="Wingdings" w:char="00A8"/>
            </w:r>
            <w:r>
              <w:rPr>
                <w:rFonts w:hint="eastAsia"/>
                <w:sz w:val="24"/>
                <w:szCs w:val="22"/>
                <w:lang w:val="en-US" w:eastAsia="zh-CN"/>
              </w:rPr>
              <w:t>五级（高）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tcPr>
          <w:p>
            <w:pPr>
              <w:pStyle w:val="13"/>
              <w:spacing w:before="77"/>
              <w:ind w:left="209" w:right="195"/>
              <w:jc w:val="center"/>
              <w:rPr>
                <w:b/>
                <w:sz w:val="24"/>
              </w:rPr>
            </w:pPr>
            <w:r>
              <w:rPr>
                <w:b/>
                <w:sz w:val="24"/>
              </w:rPr>
              <w:t>适合投资者</w:t>
            </w:r>
          </w:p>
        </w:tc>
        <w:tc>
          <w:tcPr>
            <w:tcW w:w="3167" w:type="dxa"/>
            <w:gridSpan w:val="2"/>
            <w:tcBorders>
              <w:right w:val="nil"/>
            </w:tcBorders>
          </w:tcPr>
          <w:p>
            <w:pPr>
              <w:pStyle w:val="13"/>
              <w:tabs>
                <w:tab w:val="left" w:pos="1906"/>
              </w:tabs>
              <w:spacing w:before="77"/>
              <w:ind w:left="346"/>
              <w:rPr>
                <w:sz w:val="24"/>
              </w:rPr>
            </w:pPr>
            <w:r>
              <w:rPr>
                <w:sz w:val="24"/>
              </w:rPr>
              <w:t>□保守型</w:t>
            </w:r>
            <w:r>
              <w:rPr>
                <w:sz w:val="24"/>
              </w:rPr>
              <w:tab/>
            </w:r>
            <w:r>
              <w:rPr>
                <w:rFonts w:hint="eastAsia"/>
                <w:sz w:val="24"/>
                <w:lang w:eastAsia="zh-CN"/>
              </w:rPr>
              <w:t>☑</w:t>
            </w:r>
            <w:r>
              <w:rPr>
                <w:sz w:val="24"/>
              </w:rPr>
              <w:t>稳健型</w:t>
            </w:r>
          </w:p>
        </w:tc>
        <w:tc>
          <w:tcPr>
            <w:tcW w:w="3120" w:type="dxa"/>
            <w:gridSpan w:val="3"/>
            <w:tcBorders>
              <w:left w:val="nil"/>
              <w:right w:val="nil"/>
            </w:tcBorders>
          </w:tcPr>
          <w:p>
            <w:pPr>
              <w:pStyle w:val="13"/>
              <w:tabs>
                <w:tab w:val="left" w:pos="1864"/>
              </w:tabs>
              <w:spacing w:before="77"/>
              <w:ind w:left="304"/>
              <w:rPr>
                <w:sz w:val="24"/>
              </w:rPr>
            </w:pPr>
            <w:r>
              <w:rPr>
                <w:rFonts w:hint="eastAsia"/>
                <w:sz w:val="24"/>
                <w:lang w:eastAsia="zh-CN"/>
              </w:rPr>
              <w:t>☑</w:t>
            </w:r>
            <w:r>
              <w:rPr>
                <w:sz w:val="24"/>
              </w:rPr>
              <w:t>平衡型</w:t>
            </w:r>
            <w:r>
              <w:rPr>
                <w:sz w:val="24"/>
              </w:rPr>
              <w:tab/>
            </w:r>
            <w:r>
              <w:rPr>
                <w:rFonts w:hint="eastAsia"/>
                <w:sz w:val="24"/>
                <w:lang w:eastAsia="zh-CN"/>
              </w:rPr>
              <w:t>☑</w:t>
            </w:r>
            <w:r>
              <w:rPr>
                <w:sz w:val="24"/>
              </w:rPr>
              <w:t>成长型</w:t>
            </w:r>
          </w:p>
        </w:tc>
        <w:tc>
          <w:tcPr>
            <w:tcW w:w="2174" w:type="dxa"/>
            <w:gridSpan w:val="2"/>
            <w:tcBorders>
              <w:left w:val="nil"/>
            </w:tcBorders>
          </w:tcPr>
          <w:p>
            <w:pPr>
              <w:pStyle w:val="13"/>
              <w:spacing w:before="77"/>
              <w:ind w:left="304"/>
              <w:rPr>
                <w:sz w:val="24"/>
              </w:rPr>
            </w:pPr>
            <w:r>
              <w:rPr>
                <w:rFonts w:hint="eastAsia"/>
                <w:sz w:val="24"/>
                <w:lang w:eastAsia="zh-CN"/>
              </w:rPr>
              <w:t>☑</w:t>
            </w:r>
            <w:r>
              <w:rPr>
                <w:sz w:val="24"/>
              </w:rPr>
              <w:t>进取型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1659" w:type="dxa"/>
          </w:tcPr>
          <w:p>
            <w:pPr>
              <w:pStyle w:val="13"/>
              <w:spacing w:before="146"/>
              <w:ind w:left="207" w:right="195"/>
              <w:jc w:val="center"/>
              <w:rPr>
                <w:b/>
                <w:sz w:val="24"/>
              </w:rPr>
            </w:pPr>
            <w:r>
              <w:rPr>
                <w:b/>
                <w:sz w:val="24"/>
              </w:rPr>
              <w:t>运作模式</w:t>
            </w:r>
          </w:p>
        </w:tc>
        <w:tc>
          <w:tcPr>
            <w:tcW w:w="3167" w:type="dxa"/>
            <w:gridSpan w:val="2"/>
            <w:tcBorders>
              <w:right w:val="nil"/>
            </w:tcBorders>
          </w:tcPr>
          <w:p>
            <w:pPr>
              <w:pStyle w:val="13"/>
              <w:spacing w:line="298" w:lineRule="exact"/>
              <w:ind w:left="346"/>
              <w:rPr>
                <w:sz w:val="24"/>
              </w:rPr>
            </w:pPr>
            <w:r>
              <w:rPr>
                <w:sz w:val="24"/>
              </w:rPr>
              <w:t>□开放式净值型产品</w:t>
            </w:r>
          </w:p>
          <w:p>
            <w:pPr>
              <w:pStyle w:val="13"/>
              <w:spacing w:before="4" w:line="299" w:lineRule="exact"/>
              <w:ind w:left="346"/>
              <w:rPr>
                <w:sz w:val="24"/>
              </w:rPr>
            </w:pPr>
            <w:r>
              <w:rPr>
                <w:rFonts w:hint="eastAsia"/>
                <w:sz w:val="24"/>
                <w:lang w:eastAsia="zh-CN"/>
              </w:rPr>
              <w:t>☑</w:t>
            </w:r>
            <w:r>
              <w:rPr>
                <w:sz w:val="24"/>
              </w:rPr>
              <w:t>封闭式净值型产品</w:t>
            </w:r>
          </w:p>
        </w:tc>
        <w:tc>
          <w:tcPr>
            <w:tcW w:w="3120" w:type="dxa"/>
            <w:gridSpan w:val="3"/>
            <w:tcBorders>
              <w:left w:val="nil"/>
              <w:right w:val="nil"/>
            </w:tcBorders>
          </w:tcPr>
          <w:p>
            <w:pPr>
              <w:pStyle w:val="13"/>
              <w:spacing w:line="298" w:lineRule="exact"/>
              <w:ind w:left="304"/>
              <w:rPr>
                <w:sz w:val="24"/>
              </w:rPr>
            </w:pPr>
            <w:r>
              <w:rPr>
                <w:sz w:val="24"/>
              </w:rPr>
              <w:t>□开放式非净值型产品</w:t>
            </w:r>
          </w:p>
          <w:p>
            <w:pPr>
              <w:pStyle w:val="13"/>
              <w:spacing w:before="4" w:line="299" w:lineRule="exact"/>
              <w:ind w:left="304"/>
              <w:rPr>
                <w:sz w:val="24"/>
              </w:rPr>
            </w:pPr>
            <w:r>
              <w:rPr>
                <w:sz w:val="24"/>
              </w:rPr>
              <w:t>□封闭式非净值型产品</w:t>
            </w:r>
          </w:p>
        </w:tc>
        <w:tc>
          <w:tcPr>
            <w:tcW w:w="2174" w:type="dxa"/>
            <w:gridSpan w:val="2"/>
            <w:tcBorders>
              <w:left w:val="nil"/>
            </w:tcBorders>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59" w:type="dxa"/>
          </w:tcPr>
          <w:p>
            <w:pPr>
              <w:pStyle w:val="13"/>
              <w:spacing w:before="159"/>
              <w:ind w:left="207" w:right="195"/>
              <w:jc w:val="center"/>
              <w:rPr>
                <w:b/>
                <w:sz w:val="24"/>
              </w:rPr>
            </w:pPr>
            <w:r>
              <w:rPr>
                <w:b/>
                <w:sz w:val="24"/>
              </w:rPr>
              <w:t>投资性质</w:t>
            </w:r>
          </w:p>
        </w:tc>
        <w:tc>
          <w:tcPr>
            <w:tcW w:w="8461" w:type="dxa"/>
            <w:gridSpan w:val="7"/>
          </w:tcPr>
          <w:p>
            <w:pPr>
              <w:pStyle w:val="13"/>
              <w:tabs>
                <w:tab w:val="left" w:pos="3466"/>
              </w:tabs>
              <w:spacing w:before="3"/>
              <w:ind w:left="346"/>
              <w:rPr>
                <w:sz w:val="24"/>
              </w:rPr>
            </w:pPr>
            <w:r>
              <w:rPr>
                <w:rFonts w:hint="eastAsia"/>
                <w:sz w:val="24"/>
                <w:lang w:eastAsia="zh-CN"/>
              </w:rPr>
              <w:t>☑</w:t>
            </w:r>
            <w:r>
              <w:rPr>
                <w:sz w:val="24"/>
              </w:rPr>
              <w:t>固定收益类产品</w:t>
            </w:r>
            <w:r>
              <w:rPr>
                <w:sz w:val="24"/>
              </w:rPr>
              <w:tab/>
            </w:r>
            <w:r>
              <w:rPr>
                <w:sz w:val="24"/>
              </w:rPr>
              <w:t>□权益类产品</w:t>
            </w:r>
          </w:p>
          <w:p>
            <w:pPr>
              <w:pStyle w:val="13"/>
              <w:tabs>
                <w:tab w:val="left" w:pos="3466"/>
              </w:tabs>
              <w:spacing w:before="5" w:line="289" w:lineRule="exact"/>
              <w:ind w:left="346"/>
              <w:rPr>
                <w:sz w:val="24"/>
              </w:rPr>
            </w:pPr>
            <w:r>
              <w:rPr>
                <w:sz w:val="24"/>
              </w:rPr>
              <w:t>□商品及金融衍生品类产品</w:t>
            </w:r>
            <w:r>
              <w:rPr>
                <w:sz w:val="24"/>
              </w:rPr>
              <w:tab/>
            </w:r>
            <w:r>
              <w:rPr>
                <w:sz w:val="24"/>
              </w:rPr>
              <w:t>□混合类产品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tcPr>
          <w:p>
            <w:pPr>
              <w:pStyle w:val="13"/>
              <w:spacing w:before="87"/>
              <w:ind w:left="207" w:right="195"/>
              <w:jc w:val="center"/>
              <w:rPr>
                <w:b/>
                <w:sz w:val="24"/>
              </w:rPr>
            </w:pPr>
            <w:r>
              <w:rPr>
                <w:b/>
                <w:sz w:val="24"/>
              </w:rPr>
              <w:t>募集方式</w:t>
            </w:r>
          </w:p>
        </w:tc>
        <w:tc>
          <w:tcPr>
            <w:tcW w:w="8461" w:type="dxa"/>
            <w:gridSpan w:val="7"/>
          </w:tcPr>
          <w:p>
            <w:pPr>
              <w:pStyle w:val="13"/>
              <w:tabs>
                <w:tab w:val="left" w:pos="3466"/>
              </w:tabs>
              <w:spacing w:before="87"/>
              <w:ind w:left="346"/>
              <w:rPr>
                <w:sz w:val="24"/>
              </w:rPr>
            </w:pPr>
            <w:r>
              <w:rPr>
                <w:rFonts w:hint="eastAsia"/>
                <w:sz w:val="24"/>
                <w:lang w:eastAsia="zh-CN"/>
              </w:rPr>
              <w:t>☑</w:t>
            </w:r>
            <w:r>
              <w:rPr>
                <w:sz w:val="24"/>
              </w:rPr>
              <w:t>公募发行</w:t>
            </w:r>
            <w:r>
              <w:rPr>
                <w:sz w:val="24"/>
              </w:rPr>
              <w:tab/>
            </w:r>
            <w:r>
              <w:rPr>
                <w:sz w:val="24"/>
              </w:rPr>
              <w:t>□私募发行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vAlign w:val="center"/>
          </w:tcPr>
          <w:p>
            <w:pPr>
              <w:pStyle w:val="13"/>
              <w:spacing w:before="87"/>
              <w:ind w:left="209" w:right="195"/>
              <w:jc w:val="center"/>
              <w:rPr>
                <w:b/>
                <w:sz w:val="24"/>
              </w:rPr>
            </w:pPr>
            <w:r>
              <w:rPr>
                <w:b/>
                <w:sz w:val="24"/>
              </w:rPr>
              <w:t>募集起始日</w:t>
            </w:r>
          </w:p>
        </w:tc>
        <w:tc>
          <w:tcPr>
            <w:tcW w:w="171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19</w:t>
            </w:r>
            <w:r>
              <w:rPr>
                <w:rFonts w:hint="eastAsia"/>
                <w:sz w:val="24"/>
              </w:rPr>
              <w:t>日10:00</w:t>
            </w:r>
          </w:p>
        </w:tc>
        <w:tc>
          <w:tcPr>
            <w:tcW w:w="1586" w:type="dxa"/>
            <w:gridSpan w:val="2"/>
            <w:vAlign w:val="center"/>
          </w:tcPr>
          <w:p>
            <w:pPr>
              <w:pStyle w:val="13"/>
              <w:spacing w:before="87"/>
              <w:ind w:left="246"/>
              <w:rPr>
                <w:b/>
                <w:sz w:val="24"/>
              </w:rPr>
            </w:pPr>
            <w:r>
              <w:rPr>
                <w:b/>
                <w:sz w:val="24"/>
              </w:rPr>
              <w:t>募集终止日</w:t>
            </w:r>
          </w:p>
        </w:tc>
        <w:tc>
          <w:tcPr>
            <w:tcW w:w="1790" w:type="dxa"/>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7</w:t>
            </w:r>
            <w:r>
              <w:rPr>
                <w:rFonts w:hint="eastAsia"/>
                <w:sz w:val="24"/>
              </w:rPr>
              <w:t>月</w:t>
            </w:r>
            <w:r>
              <w:rPr>
                <w:rFonts w:hint="eastAsia"/>
                <w:sz w:val="24"/>
                <w:lang w:val="en-US" w:eastAsia="zh-CN"/>
              </w:rPr>
              <w:t>2</w:t>
            </w:r>
            <w:r>
              <w:rPr>
                <w:rFonts w:hint="eastAsia"/>
                <w:sz w:val="24"/>
              </w:rPr>
              <w:t>日15：00</w:t>
            </w:r>
          </w:p>
        </w:tc>
        <w:tc>
          <w:tcPr>
            <w:tcW w:w="1688" w:type="dxa"/>
            <w:gridSpan w:val="2"/>
            <w:vAlign w:val="center"/>
          </w:tcPr>
          <w:p>
            <w:pPr>
              <w:pStyle w:val="13"/>
              <w:spacing w:before="87"/>
              <w:ind w:left="241"/>
              <w:rPr>
                <w:b/>
                <w:sz w:val="24"/>
              </w:rPr>
            </w:pPr>
            <w:r>
              <w:rPr>
                <w:b/>
                <w:sz w:val="24"/>
              </w:rPr>
              <w:t>最低认购额</w:t>
            </w:r>
          </w:p>
        </w:tc>
        <w:tc>
          <w:tcPr>
            <w:tcW w:w="1687" w:type="dxa"/>
            <w:vAlign w:val="center"/>
          </w:tcPr>
          <w:p>
            <w:pPr>
              <w:pStyle w:val="13"/>
              <w:jc w:val="center"/>
              <w:rPr>
                <w:rFonts w:ascii="Times New Roman"/>
                <w:sz w:val="24"/>
              </w:rPr>
            </w:pPr>
            <w:r>
              <w:rPr>
                <w:rFonts w:hint="eastAsia"/>
                <w:sz w:val="24"/>
              </w:rPr>
              <w:t>1元人民币为1份，首次投资最低份额为1万份；超出首次投资最低份额部分，须为1千份或1千份的整数倍；</w:t>
            </w:r>
          </w:p>
        </w:tc>
      </w:tr>
    </w:tbl>
    <w:p>
      <w:pPr>
        <w:rPr>
          <w:sz w:val="22"/>
        </w:rPr>
        <w:sectPr>
          <w:headerReference r:id="rId3" w:type="default"/>
          <w:footerReference r:id="rId5" w:type="default"/>
          <w:headerReference r:id="rId4" w:type="even"/>
          <w:footerReference r:id="rId6" w:type="even"/>
          <w:pgSz w:w="11910" w:h="16840"/>
          <w:pgMar w:top="1134" w:right="640" w:bottom="850" w:left="880" w:header="1449" w:footer="1134" w:gutter="0"/>
          <w:cols w:equalWidth="0" w:num="1">
            <w:col w:w="10390"/>
          </w:cols>
        </w:sectPr>
      </w:pPr>
    </w:p>
    <w:p>
      <w:pPr>
        <w:pStyle w:val="2"/>
        <w:spacing w:before="10"/>
        <w:rPr>
          <w:rFonts w:ascii="黑体"/>
          <w:sz w:val="23"/>
        </w:rPr>
      </w:pPr>
    </w:p>
    <w:tbl>
      <w:tblPr>
        <w:tblStyle w:val="7"/>
        <w:tblW w:w="10120"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1659"/>
        <w:gridCol w:w="1906"/>
        <w:gridCol w:w="108"/>
        <w:gridCol w:w="995"/>
        <w:gridCol w:w="287"/>
        <w:gridCol w:w="613"/>
        <w:gridCol w:w="1230"/>
        <w:gridCol w:w="187"/>
        <w:gridCol w:w="730"/>
        <w:gridCol w:w="718"/>
        <w:gridCol w:w="497"/>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7"/>
              <w:ind w:left="209" w:right="195"/>
              <w:jc w:val="center"/>
              <w:rPr>
                <w:b/>
                <w:sz w:val="24"/>
              </w:rPr>
            </w:pPr>
            <w:r>
              <w:rPr>
                <w:b/>
                <w:sz w:val="24"/>
              </w:rPr>
              <w:t>产品起始日</w:t>
            </w:r>
          </w:p>
        </w:tc>
        <w:tc>
          <w:tcPr>
            <w:tcW w:w="1906" w:type="dxa"/>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7</w:t>
            </w:r>
            <w:r>
              <w:rPr>
                <w:rFonts w:hint="eastAsia"/>
                <w:sz w:val="24"/>
              </w:rPr>
              <w:t>月</w:t>
            </w:r>
            <w:r>
              <w:rPr>
                <w:rFonts w:hint="eastAsia"/>
                <w:sz w:val="24"/>
                <w:lang w:val="en-US" w:eastAsia="zh-CN"/>
              </w:rPr>
              <w:t>3</w:t>
            </w:r>
            <w:r>
              <w:rPr>
                <w:rFonts w:hint="eastAsia"/>
                <w:sz w:val="24"/>
              </w:rPr>
              <w:t>日</w:t>
            </w:r>
          </w:p>
        </w:tc>
        <w:tc>
          <w:tcPr>
            <w:tcW w:w="1390" w:type="dxa"/>
            <w:gridSpan w:val="3"/>
            <w:shd w:val="clear" w:color="auto" w:fill="FFFFFF" w:themeFill="background1"/>
            <w:vAlign w:val="center"/>
          </w:tcPr>
          <w:p>
            <w:pPr>
              <w:pStyle w:val="13"/>
              <w:spacing w:before="87"/>
              <w:ind w:left="246"/>
              <w:rPr>
                <w:b/>
                <w:sz w:val="24"/>
              </w:rPr>
            </w:pPr>
            <w:r>
              <w:rPr>
                <w:b/>
                <w:sz w:val="24"/>
              </w:rPr>
              <w:t>产品终止日</w:t>
            </w:r>
          </w:p>
        </w:tc>
        <w:tc>
          <w:tcPr>
            <w:tcW w:w="2030" w:type="dxa"/>
            <w:gridSpan w:val="3"/>
            <w:shd w:val="clear" w:color="auto" w:fill="FFFFFF" w:themeFill="background1"/>
            <w:vAlign w:val="center"/>
          </w:tcPr>
          <w:p>
            <w:pPr>
              <w:pStyle w:val="13"/>
              <w:jc w:val="center"/>
              <w:rPr>
                <w:rFonts w:ascii="Times New Roman"/>
                <w:sz w:val="24"/>
              </w:rPr>
            </w:pPr>
            <w:r>
              <w:rPr>
                <w:rFonts w:hint="eastAsia"/>
                <w:sz w:val="24"/>
              </w:rPr>
              <w:t>20</w:t>
            </w:r>
            <w:r>
              <w:rPr>
                <w:rFonts w:hint="eastAsia"/>
                <w:sz w:val="24"/>
                <w:lang w:val="en-US" w:eastAsia="zh-CN"/>
              </w:rPr>
              <w:t>26</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20</w:t>
            </w:r>
            <w:r>
              <w:rPr>
                <w:rFonts w:hint="eastAsia"/>
                <w:sz w:val="24"/>
              </w:rPr>
              <w:t>日</w:t>
            </w:r>
          </w:p>
        </w:tc>
        <w:tc>
          <w:tcPr>
            <w:tcW w:w="1448" w:type="dxa"/>
            <w:gridSpan w:val="2"/>
            <w:shd w:val="clear" w:color="auto" w:fill="FFFFFF" w:themeFill="background1"/>
            <w:vAlign w:val="center"/>
          </w:tcPr>
          <w:p>
            <w:pPr>
              <w:pStyle w:val="13"/>
              <w:spacing w:before="87"/>
              <w:ind w:left="361"/>
              <w:rPr>
                <w:b/>
                <w:sz w:val="24"/>
              </w:rPr>
            </w:pPr>
            <w:r>
              <w:rPr>
                <w:b/>
                <w:sz w:val="24"/>
              </w:rPr>
              <w:t>产品期限</w:t>
            </w:r>
          </w:p>
        </w:tc>
        <w:tc>
          <w:tcPr>
            <w:tcW w:w="1687" w:type="dxa"/>
            <w:gridSpan w:val="2"/>
            <w:shd w:val="clear" w:color="auto" w:fill="FFFFFF" w:themeFill="background1"/>
            <w:vAlign w:val="center"/>
          </w:tcPr>
          <w:p>
            <w:pPr>
              <w:pStyle w:val="13"/>
              <w:jc w:val="center"/>
              <w:rPr>
                <w:rFonts w:ascii="Times New Roman"/>
                <w:sz w:val="24"/>
              </w:rPr>
            </w:pPr>
            <w:r>
              <w:rPr>
                <w:rFonts w:hint="eastAsia"/>
                <w:sz w:val="24"/>
                <w:lang w:val="en-US" w:eastAsia="zh-CN"/>
              </w:rPr>
              <w:t>566</w:t>
            </w:r>
            <w:r>
              <w:rPr>
                <w:rFonts w:hint="eastAsia"/>
                <w:sz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产品币种</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9" w:right="195"/>
              <w:jc w:val="center"/>
              <w:rPr>
                <w:b/>
                <w:sz w:val="24"/>
              </w:rPr>
            </w:pPr>
            <w:r>
              <w:rPr>
                <w:b/>
                <w:sz w:val="24"/>
              </w:rPr>
              <w:t>资金到账日</w:t>
            </w:r>
          </w:p>
        </w:tc>
        <w:tc>
          <w:tcPr>
            <w:tcW w:w="8461" w:type="dxa"/>
            <w:gridSpan w:val="11"/>
            <w:shd w:val="clear" w:color="auto" w:fill="FFFFFF" w:themeFill="background1"/>
            <w:vAlign w:val="center"/>
          </w:tcPr>
          <w:p>
            <w:pPr>
              <w:pStyle w:val="13"/>
              <w:ind w:firstLine="480" w:firstLineChars="200"/>
              <w:rPr>
                <w:rFonts w:ascii="Times New Roman"/>
                <w:sz w:val="24"/>
                <w:lang w:val="en-US" w:eastAsia="zh-CN"/>
              </w:rPr>
            </w:pPr>
            <w:r>
              <w:rPr>
                <w:rFonts w:hint="eastAsia" w:ascii="Times New Roman"/>
                <w:sz w:val="24"/>
                <w:lang w:val="en-US" w:eastAsia="zh-CN"/>
              </w:rPr>
              <w:t>产品终止后三个工作日内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659" w:type="dxa"/>
            <w:shd w:val="clear" w:color="auto" w:fill="FFFFFF" w:themeFill="background1"/>
          </w:tcPr>
          <w:p>
            <w:pPr>
              <w:pStyle w:val="13"/>
              <w:spacing w:before="87"/>
              <w:ind w:left="207" w:right="195"/>
              <w:jc w:val="center"/>
              <w:rPr>
                <w:b/>
                <w:sz w:val="24"/>
              </w:rPr>
            </w:pPr>
            <w:r>
              <w:rPr>
                <w:b/>
                <w:sz w:val="24"/>
              </w:rPr>
              <w:t>销售地域</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河北省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销售渠道</w:t>
            </w:r>
          </w:p>
        </w:tc>
        <w:tc>
          <w:tcPr>
            <w:tcW w:w="8461" w:type="dxa"/>
            <w:gridSpan w:val="11"/>
            <w:shd w:val="clear" w:color="auto" w:fill="FFFFFF" w:themeFill="background1"/>
            <w:vAlign w:val="center"/>
          </w:tcPr>
          <w:p>
            <w:pPr>
              <w:pStyle w:val="13"/>
              <w:ind w:firstLine="480" w:firstLineChars="200"/>
              <w:rPr>
                <w:rFonts w:ascii="Times New Roman"/>
                <w:sz w:val="24"/>
              </w:rPr>
            </w:pPr>
            <w:r>
              <w:rPr>
                <w:rFonts w:hint="eastAsia"/>
                <w:sz w:val="24"/>
              </w:rPr>
              <w:t>承</w:t>
            </w:r>
            <w:r>
              <w:rPr>
                <w:sz w:val="24"/>
              </w:rPr>
              <w:t>德银行各营业</w:t>
            </w:r>
            <w:r>
              <w:rPr>
                <w:rFonts w:hint="eastAsia"/>
                <w:sz w:val="24"/>
              </w:rPr>
              <w:t>网</w:t>
            </w:r>
            <w:r>
              <w:rPr>
                <w:sz w:val="24"/>
              </w:rPr>
              <w:t>点</w:t>
            </w:r>
            <w:r>
              <w:rPr>
                <w:rFonts w:hint="eastAsia"/>
                <w:sz w:val="24"/>
              </w:rPr>
              <w:t>、手</w:t>
            </w:r>
            <w:r>
              <w:rPr>
                <w:sz w:val="24"/>
              </w:rPr>
              <w:t>机银行</w:t>
            </w:r>
            <w:r>
              <w:rPr>
                <w:rFonts w:hint="eastAsia"/>
                <w:sz w:val="24"/>
              </w:rPr>
              <w:t>、智能柜台等渠道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tcPr>
          <w:p>
            <w:pPr>
              <w:pStyle w:val="13"/>
              <w:spacing w:before="87"/>
              <w:ind w:left="207" w:right="195"/>
              <w:jc w:val="center"/>
              <w:rPr>
                <w:b/>
                <w:sz w:val="24"/>
              </w:rPr>
            </w:pPr>
            <w:r>
              <w:rPr>
                <w:b/>
                <w:sz w:val="24"/>
              </w:rPr>
              <w:t>是否分级</w:t>
            </w:r>
          </w:p>
        </w:tc>
        <w:tc>
          <w:tcPr>
            <w:tcW w:w="8461" w:type="dxa"/>
            <w:gridSpan w:val="11"/>
            <w:shd w:val="clear" w:color="auto" w:fill="FFFFFF" w:themeFill="background1"/>
          </w:tcPr>
          <w:p>
            <w:pPr>
              <w:pStyle w:val="13"/>
              <w:tabs>
                <w:tab w:val="left" w:pos="1906"/>
              </w:tabs>
              <w:spacing w:before="87"/>
              <w:ind w:left="346"/>
              <w:rPr>
                <w:sz w:val="24"/>
              </w:rPr>
            </w:pPr>
            <w:r>
              <w:rPr>
                <w:sz w:val="24"/>
              </w:rPr>
              <w:t>□是</w:t>
            </w:r>
            <w:r>
              <w:rPr>
                <w:sz w:val="24"/>
              </w:rPr>
              <w:tab/>
            </w:r>
            <w:r>
              <w:rPr>
                <w:rFonts w:hint="eastAsia"/>
                <w:sz w:val="24"/>
                <w:lang w:eastAsia="zh-CN"/>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0120" w:type="dxa"/>
            <w:gridSpan w:val="12"/>
            <w:shd w:val="clear" w:color="auto" w:fill="FFFFFF" w:themeFill="background1"/>
          </w:tcPr>
          <w:p>
            <w:pPr>
              <w:pStyle w:val="13"/>
              <w:spacing w:before="88"/>
              <w:ind w:left="2931" w:right="2915"/>
              <w:jc w:val="center"/>
              <w:rPr>
                <w:b/>
                <w:sz w:val="24"/>
              </w:rPr>
            </w:pPr>
            <w:r>
              <w:rPr>
                <w:b/>
                <w:sz w:val="24"/>
              </w:rPr>
              <w:t>净值型产品信息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659" w:type="dxa"/>
            <w:shd w:val="clear" w:color="auto" w:fill="FFFFFF" w:themeFill="background1"/>
            <w:vAlign w:val="center"/>
          </w:tcPr>
          <w:p>
            <w:pPr>
              <w:pStyle w:val="13"/>
              <w:spacing w:before="88"/>
              <w:ind w:left="209" w:right="195"/>
              <w:jc w:val="center"/>
              <w:rPr>
                <w:b/>
                <w:sz w:val="24"/>
              </w:rPr>
            </w:pPr>
            <w:r>
              <w:rPr>
                <w:b/>
                <w:sz w:val="24"/>
              </w:rPr>
              <w:t>净值计算日</w:t>
            </w:r>
          </w:p>
        </w:tc>
        <w:tc>
          <w:tcPr>
            <w:tcW w:w="2014" w:type="dxa"/>
            <w:gridSpan w:val="2"/>
            <w:shd w:val="clear" w:color="auto" w:fill="FFFFFF" w:themeFill="background1"/>
            <w:vAlign w:val="center"/>
          </w:tcPr>
          <w:p>
            <w:pPr>
              <w:pStyle w:val="13"/>
              <w:jc w:val="center"/>
              <w:rPr>
                <w:rFonts w:ascii="Times New Roman"/>
                <w:sz w:val="24"/>
              </w:rPr>
            </w:pPr>
            <w:r>
              <w:rPr>
                <w:rFonts w:hint="eastAsia"/>
                <w:sz w:val="24"/>
              </w:rPr>
              <w:t>202</w:t>
            </w:r>
            <w:r>
              <w:rPr>
                <w:rFonts w:hint="eastAsia"/>
                <w:sz w:val="24"/>
                <w:lang w:val="en-US" w:eastAsia="zh-CN"/>
              </w:rPr>
              <w:t>4</w:t>
            </w:r>
            <w:r>
              <w:rPr>
                <w:rFonts w:hint="eastAsia"/>
                <w:sz w:val="24"/>
              </w:rPr>
              <w:t>年</w:t>
            </w:r>
            <w:r>
              <w:rPr>
                <w:rFonts w:hint="eastAsia"/>
                <w:sz w:val="24"/>
                <w:lang w:val="en-US" w:eastAsia="zh-CN"/>
              </w:rPr>
              <w:t>7</w:t>
            </w:r>
            <w:r>
              <w:rPr>
                <w:rFonts w:hint="eastAsia"/>
                <w:sz w:val="24"/>
              </w:rPr>
              <w:t>月</w:t>
            </w:r>
            <w:r>
              <w:rPr>
                <w:rFonts w:hint="eastAsia"/>
                <w:sz w:val="24"/>
                <w:lang w:val="en-US" w:eastAsia="zh-CN"/>
              </w:rPr>
              <w:t>3</w:t>
            </w:r>
            <w:r>
              <w:rPr>
                <w:rFonts w:hint="eastAsia"/>
                <w:sz w:val="24"/>
              </w:rPr>
              <w:t>日</w:t>
            </w:r>
          </w:p>
        </w:tc>
        <w:tc>
          <w:tcPr>
            <w:tcW w:w="995" w:type="dxa"/>
            <w:shd w:val="clear" w:color="auto" w:fill="FFFFFF" w:themeFill="background1"/>
            <w:vAlign w:val="center"/>
          </w:tcPr>
          <w:p>
            <w:pPr>
              <w:pStyle w:val="13"/>
              <w:spacing w:before="88"/>
              <w:ind w:left="140"/>
              <w:jc w:val="center"/>
              <w:rPr>
                <w:b/>
                <w:sz w:val="24"/>
              </w:rPr>
            </w:pPr>
            <w:r>
              <w:rPr>
                <w:b/>
                <w:sz w:val="24"/>
              </w:rPr>
              <w:t>当前净值</w:t>
            </w:r>
          </w:p>
        </w:tc>
        <w:tc>
          <w:tcPr>
            <w:tcW w:w="900"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30" w:type="dxa"/>
            <w:shd w:val="clear" w:color="auto" w:fill="FFFFFF" w:themeFill="background1"/>
            <w:vAlign w:val="center"/>
          </w:tcPr>
          <w:p>
            <w:pPr>
              <w:pStyle w:val="13"/>
              <w:spacing w:before="88"/>
              <w:ind w:left="114" w:right="101"/>
              <w:jc w:val="center"/>
              <w:rPr>
                <w:b/>
                <w:sz w:val="24"/>
              </w:rPr>
            </w:pPr>
            <w:r>
              <w:rPr>
                <w:b/>
                <w:sz w:val="24"/>
              </w:rPr>
              <w:t>初始净值</w:t>
            </w:r>
          </w:p>
        </w:tc>
        <w:tc>
          <w:tcPr>
            <w:tcW w:w="917" w:type="dxa"/>
            <w:gridSpan w:val="2"/>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c>
          <w:tcPr>
            <w:tcW w:w="1215" w:type="dxa"/>
            <w:gridSpan w:val="2"/>
            <w:shd w:val="clear" w:color="auto" w:fill="FFFFFF" w:themeFill="background1"/>
            <w:vAlign w:val="center"/>
          </w:tcPr>
          <w:p>
            <w:pPr>
              <w:pStyle w:val="13"/>
              <w:spacing w:before="88"/>
              <w:ind w:left="127"/>
              <w:jc w:val="center"/>
              <w:rPr>
                <w:b/>
                <w:sz w:val="24"/>
              </w:rPr>
            </w:pPr>
            <w:r>
              <w:rPr>
                <w:b/>
                <w:sz w:val="24"/>
              </w:rPr>
              <w:t>累计净值</w:t>
            </w:r>
          </w:p>
        </w:tc>
        <w:tc>
          <w:tcPr>
            <w:tcW w:w="1190" w:type="dxa"/>
            <w:shd w:val="clear" w:color="auto" w:fill="FFFFFF" w:themeFill="background1"/>
            <w:vAlign w:val="center"/>
          </w:tcPr>
          <w:p>
            <w:pPr>
              <w:pStyle w:val="13"/>
              <w:jc w:val="center"/>
              <w:rPr>
                <w:rFonts w:ascii="Times New Roman"/>
                <w:sz w:val="24"/>
                <w:lang w:val="en-US" w:eastAsia="zh-CN"/>
              </w:rPr>
            </w:pPr>
            <w:r>
              <w:rPr>
                <w:rFonts w:hint="eastAsia" w:ascii="Times New Roman"/>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产品的投资策略是什么？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一、投资范围</w:t>
            </w:r>
          </w:p>
          <w:p>
            <w:pPr>
              <w:spacing w:line="400" w:lineRule="exact"/>
              <w:ind w:firstLine="480" w:firstLineChars="200"/>
              <w:outlineLvl w:val="0"/>
              <w:rPr>
                <w:rFonts w:ascii="宋体" w:hAnsi="宋体" w:cs="宋体"/>
                <w:sz w:val="24"/>
              </w:rPr>
            </w:pPr>
            <w:r>
              <w:rPr>
                <w:rFonts w:hint="eastAsia" w:ascii="宋体" w:hAnsi="宋体" w:cs="宋体"/>
                <w:sz w:val="24"/>
              </w:rPr>
              <w:t>本理财产品募集的资金直接或间接投资于以下金融资产和金融工具，包括但不限于：</w:t>
            </w:r>
          </w:p>
          <w:p>
            <w:pPr>
              <w:spacing w:line="400" w:lineRule="exact"/>
              <w:ind w:firstLine="480" w:firstLineChars="200"/>
              <w:outlineLvl w:val="0"/>
              <w:rPr>
                <w:rFonts w:ascii="宋体" w:hAnsi="宋体" w:cs="宋体"/>
                <w:sz w:val="24"/>
              </w:rPr>
            </w:pPr>
            <w:r>
              <w:rPr>
                <w:rFonts w:hint="eastAsia" w:ascii="宋体" w:hAnsi="宋体" w:cs="宋体"/>
                <w:sz w:val="24"/>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cs="宋体"/>
                <w:sz w:val="24"/>
                <w:lang w:eastAsia="zh-CN"/>
              </w:rPr>
              <w:t>、</w:t>
            </w:r>
            <w:r>
              <w:rPr>
                <w:rFonts w:hint="eastAsia" w:ascii="宋体" w:hAnsi="宋体" w:cs="宋体"/>
                <w:sz w:val="24"/>
                <w:lang w:val="en-US" w:eastAsia="zh-CN"/>
              </w:rPr>
              <w:t>公募基金、黄金ETF、股票型基金</w:t>
            </w:r>
            <w:r>
              <w:rPr>
                <w:rFonts w:hint="eastAsia" w:ascii="宋体" w:hAnsi="宋体" w:cs="宋体"/>
                <w:sz w:val="24"/>
              </w:rPr>
              <w:t>等，以及主要投资于标准化债权资产的资产管理计划或信托计划等；非标准化债权资产包括但不限于同业借款、信托贷款、应收账款、收益权转让、收益凭证等。本理财产品可以进行债券正回购交易。如存在法律法规或监管机构以后允许投资其他品种的，管理人在履行适当程序后，可以将其纳入本理财产品的投资范围。</w:t>
            </w:r>
          </w:p>
          <w:p>
            <w:pPr>
              <w:spacing w:line="400" w:lineRule="exact"/>
              <w:ind w:firstLine="480" w:firstLineChars="200"/>
              <w:outlineLvl w:val="0"/>
              <w:rPr>
                <w:rFonts w:ascii="宋体" w:hAnsi="宋体" w:cs="宋体"/>
                <w:sz w:val="24"/>
              </w:rPr>
            </w:pPr>
            <w:r>
              <w:rPr>
                <w:rFonts w:hint="eastAsia" w:ascii="宋体" w:hAnsi="宋体" w:cs="宋体"/>
                <w:sz w:val="24"/>
              </w:rPr>
              <w:t>二、各投资品种占净资产的计划配置比例如下：</w:t>
            </w:r>
          </w:p>
          <w:tbl>
            <w:tblPr>
              <w:tblStyle w:val="7"/>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投资品种及杠杆比例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固定收益类资产</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总资产与产品净资产的比例</w:t>
                  </w:r>
                </w:p>
              </w:tc>
              <w:tc>
                <w:tcPr>
                  <w:tcW w:w="4895" w:type="dxa"/>
                  <w:noWrap/>
                </w:tcPr>
                <w:p>
                  <w:pPr>
                    <w:spacing w:line="400" w:lineRule="exact"/>
                    <w:ind w:firstLine="480" w:firstLineChars="200"/>
                    <w:outlineLvl w:val="0"/>
                    <w:rPr>
                      <w:rFonts w:ascii="宋体" w:hAnsi="宋体" w:cs="宋体"/>
                      <w:sz w:val="24"/>
                      <w:lang w:val="ca-ES" w:eastAsia="en-US"/>
                    </w:rPr>
                  </w:pPr>
                  <w:r>
                    <w:rPr>
                      <w:rFonts w:hint="eastAsia" w:ascii="宋体" w:hAnsi="宋体" w:cs="宋体"/>
                      <w:sz w:val="24"/>
                      <w:lang w:val="ca-ES" w:eastAsia="en-US"/>
                    </w:rPr>
                    <w:t>不超过200%</w:t>
                  </w:r>
                </w:p>
              </w:tc>
            </w:tr>
          </w:tbl>
          <w:p>
            <w:pPr>
              <w:spacing w:line="400" w:lineRule="exact"/>
              <w:ind w:firstLine="480" w:firstLineChars="200"/>
              <w:outlineLvl w:val="0"/>
              <w:rPr>
                <w:rFonts w:ascii="宋体" w:hAnsi="宋体" w:cs="宋体"/>
                <w:sz w:val="24"/>
              </w:rPr>
            </w:pPr>
            <w:r>
              <w:rPr>
                <w:rFonts w:hint="eastAsia" w:ascii="宋体" w:hAnsi="宋体" w:cs="宋体"/>
                <w:sz w:val="24"/>
              </w:rPr>
              <w:t>三、投资策略和目标</w:t>
            </w:r>
          </w:p>
          <w:p>
            <w:pPr>
              <w:spacing w:line="400" w:lineRule="exact"/>
              <w:ind w:firstLine="480" w:firstLineChars="200"/>
              <w:outlineLvl w:val="0"/>
            </w:pPr>
            <w:r>
              <w:rPr>
                <w:rFonts w:hint="eastAsia" w:ascii="宋体" w:hAnsi="宋体" w:cs="宋体"/>
                <w:sz w:val="24"/>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43" w:hRule="atLeast"/>
        </w:trPr>
        <w:tc>
          <w:tcPr>
            <w:tcW w:w="10120" w:type="dxa"/>
            <w:gridSpan w:val="12"/>
            <w:shd w:val="clear" w:color="auto" w:fill="95B3D6"/>
            <w:vAlign w:val="center"/>
          </w:tcPr>
          <w:p>
            <w:pPr>
              <w:pStyle w:val="13"/>
              <w:spacing w:before="122"/>
              <w:ind w:left="2496" w:right="2490"/>
              <w:jc w:val="center"/>
              <w:rPr>
                <w:b/>
                <w:sz w:val="28"/>
              </w:rPr>
            </w:pPr>
            <w:r>
              <w:rPr>
                <w:b/>
                <w:sz w:val="28"/>
              </w:rPr>
              <w:t>产品的主要风险和收益情况如何？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1" w:hRule="atLeast"/>
        </w:trPr>
        <w:tc>
          <w:tcPr>
            <w:tcW w:w="10120" w:type="dxa"/>
            <w:gridSpan w:val="12"/>
            <w:shd w:val="clear" w:color="auto" w:fill="DBE4F0"/>
          </w:tcPr>
          <w:p>
            <w:pPr>
              <w:pStyle w:val="13"/>
              <w:spacing w:before="75"/>
              <w:ind w:left="2506" w:right="2490"/>
              <w:jc w:val="center"/>
              <w:rPr>
                <w:b/>
                <w:sz w:val="24"/>
              </w:rPr>
            </w:pPr>
            <w:r>
              <w:rPr>
                <w:b/>
                <w:sz w:val="24"/>
              </w:rPr>
              <w:t>产品的主要风险及可能带来的损失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本理财产品是承德银行按照约定条件和实际投资收益情况向投资者支付收益、不保证本金支付和收益水平的非保本理财产品。投资者应充分认识投资风险，谨慎投资。</w:t>
            </w:r>
          </w:p>
          <w:p>
            <w:pPr>
              <w:spacing w:line="400" w:lineRule="exact"/>
              <w:ind w:firstLine="480" w:firstLineChars="200"/>
              <w:outlineLvl w:val="0"/>
              <w:rPr>
                <w:rFonts w:ascii="宋体" w:hAnsi="宋体" w:cs="宋体"/>
                <w:sz w:val="24"/>
              </w:rPr>
            </w:pPr>
            <w:r>
              <w:rPr>
                <w:rFonts w:hint="eastAsia" w:ascii="宋体" w:hAnsi="宋体" w:cs="宋体"/>
                <w:sz w:val="24"/>
              </w:rPr>
              <w:t>1.投资者可能面临以下风险：市场风险、流动性风险、信用风险、政策风险、提前终止风险、信息传递风险、理财产品不成立风险、税务风险、不可抗力及意外事件风险等。</w:t>
            </w:r>
          </w:p>
          <w:p>
            <w:pPr>
              <w:spacing w:line="400" w:lineRule="exact"/>
              <w:ind w:firstLine="480" w:firstLineChars="200"/>
              <w:outlineLvl w:val="0"/>
              <w:rPr>
                <w:b/>
                <w:sz w:val="24"/>
              </w:rPr>
            </w:pPr>
            <w:r>
              <w:rPr>
                <w:rFonts w:hint="eastAsia" w:ascii="宋体" w:hAnsi="宋体" w:cs="宋体"/>
                <w:sz w:val="24"/>
              </w:rPr>
              <w:t>2.在最不利情况下，投资者甚至可能损失全部本金，投资者应充分认识投资风险，谨慎投资。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7"/>
              <w:ind w:left="2511" w:right="2490"/>
              <w:jc w:val="center"/>
              <w:rPr>
                <w:b/>
                <w:sz w:val="24"/>
              </w:rPr>
            </w:pPr>
            <w:r>
              <w:rPr>
                <w:b/>
                <w:sz w:val="24"/>
              </w:rPr>
              <w:t>产品的收益分配及兑付安排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2" w:hRule="atLeast"/>
        </w:trPr>
        <w:tc>
          <w:tcPr>
            <w:tcW w:w="10120" w:type="dxa"/>
            <w:gridSpan w:val="12"/>
            <w:shd w:val="clear" w:color="auto" w:fill="FFFFFF" w:themeFill="background1"/>
          </w:tcPr>
          <w:p>
            <w:pPr>
              <w:spacing w:line="400" w:lineRule="exact"/>
              <w:ind w:firstLine="480" w:firstLineChars="200"/>
              <w:outlineLvl w:val="0"/>
              <w:rPr>
                <w:rFonts w:ascii="宋体" w:hAnsi="宋体" w:cs="宋体"/>
                <w:sz w:val="24"/>
              </w:rPr>
            </w:pPr>
            <w:r>
              <w:rPr>
                <w:rFonts w:hint="eastAsia" w:ascii="宋体" w:hAnsi="宋体" w:cs="宋体"/>
                <w:sz w:val="24"/>
              </w:rPr>
              <w:t>一、投资者持有本理财产品期间及到期时，承德银行不承诺保证本金安全且不保证理财收益，投资者在到期日的应得收益(如有)随投资盈亏水平浮动。</w:t>
            </w:r>
          </w:p>
          <w:p>
            <w:pPr>
              <w:spacing w:line="400" w:lineRule="exact"/>
              <w:ind w:firstLine="480" w:firstLineChars="200"/>
              <w:outlineLvl w:val="0"/>
              <w:rPr>
                <w:rFonts w:ascii="宋体" w:hAnsi="宋体" w:cs="宋体"/>
                <w:sz w:val="24"/>
              </w:rPr>
            </w:pPr>
            <w:r>
              <w:rPr>
                <w:rFonts w:hint="eastAsia" w:ascii="宋体" w:hAnsi="宋体" w:cs="宋体"/>
                <w:sz w:val="24"/>
              </w:rPr>
              <w:t>二、理财产品项下财产正常变现情况下，投资者理财产品预计到期日应得资金(如有，下同)，计算公式如下:</w:t>
            </w:r>
          </w:p>
          <w:p>
            <w:pPr>
              <w:spacing w:line="400" w:lineRule="exact"/>
              <w:ind w:firstLine="480" w:firstLineChars="200"/>
              <w:outlineLvl w:val="0"/>
              <w:rPr>
                <w:rFonts w:ascii="宋体" w:hAnsi="宋体" w:cs="宋体"/>
                <w:sz w:val="24"/>
              </w:rPr>
            </w:pPr>
            <w:r>
              <w:rPr>
                <w:rFonts w:hint="eastAsia" w:ascii="宋体" w:hAnsi="宋体" w:cs="宋体"/>
                <w:sz w:val="24"/>
              </w:rPr>
              <w:t>投资者应得资金=投资者理财产品预计到期日持有理财产品份额×理财产品预计到期日理财产品份额净值</w:t>
            </w:r>
          </w:p>
          <w:p>
            <w:pPr>
              <w:spacing w:line="400" w:lineRule="exact"/>
              <w:ind w:firstLine="480" w:firstLineChars="200"/>
              <w:outlineLvl w:val="0"/>
              <w:rPr>
                <w:rFonts w:ascii="宋体" w:hAnsi="宋体" w:cs="宋体"/>
                <w:sz w:val="24"/>
              </w:rPr>
            </w:pPr>
            <w:r>
              <w:rPr>
                <w:rFonts w:hint="eastAsia" w:ascii="宋体" w:hAnsi="宋体" w:cs="宋体"/>
                <w:sz w:val="24"/>
              </w:rPr>
              <w:t>全部投资者应得资金为承德银行实际资产变现金额扣除应由理财产品承担的费用、税费后的剩余金额。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80" w:firstLineChars="200"/>
              <w:outlineLvl w:val="0"/>
              <w:rPr>
                <w:rFonts w:ascii="宋体" w:hAnsi="宋体" w:cs="宋体"/>
                <w:sz w:val="24"/>
              </w:rPr>
            </w:pPr>
            <w:r>
              <w:rPr>
                <w:rFonts w:hint="eastAsia" w:ascii="宋体" w:hAnsi="宋体" w:cs="宋体"/>
                <w:sz w:val="24"/>
              </w:rPr>
              <w:t xml:space="preserve">三、理财产品项下财产正常变现情况下，理财产品投资者在预计到期日可得收益的计算公式为: </w:t>
            </w:r>
          </w:p>
          <w:p>
            <w:pPr>
              <w:spacing w:line="400" w:lineRule="exact"/>
              <w:ind w:firstLine="480" w:firstLineChars="200"/>
              <w:outlineLvl w:val="0"/>
              <w:rPr>
                <w:rFonts w:ascii="宋体" w:hAnsi="宋体" w:cs="宋体"/>
                <w:sz w:val="24"/>
              </w:rPr>
            </w:pPr>
            <w:r>
              <w:rPr>
                <w:rFonts w:hint="eastAsia" w:ascii="宋体" w:hAnsi="宋体" w:cs="宋体"/>
                <w:sz w:val="24"/>
              </w:rPr>
              <w:t>1.每份额收益=理财产品到期日份额净值一认购日份额净值</w:t>
            </w:r>
          </w:p>
          <w:p>
            <w:pPr>
              <w:spacing w:line="400" w:lineRule="exact"/>
              <w:ind w:firstLine="480" w:firstLineChars="200"/>
              <w:outlineLvl w:val="0"/>
              <w:rPr>
                <w:rFonts w:ascii="宋体" w:hAnsi="宋体" w:cs="宋体"/>
                <w:sz w:val="24"/>
              </w:rPr>
            </w:pPr>
            <w:r>
              <w:rPr>
                <w:rFonts w:hint="eastAsia" w:ascii="宋体" w:hAnsi="宋体" w:cs="宋体"/>
                <w:sz w:val="24"/>
              </w:rPr>
              <w:t>2.投资者总收益=投资者理财产品到期日持有理财产品份额×每份额收益</w:t>
            </w:r>
          </w:p>
          <w:p>
            <w:pPr>
              <w:spacing w:line="400" w:lineRule="exact"/>
              <w:ind w:firstLine="480" w:firstLineChars="200"/>
              <w:outlineLvl w:val="0"/>
              <w:rPr>
                <w:rFonts w:ascii="宋体" w:hAnsi="宋体" w:cs="宋体"/>
                <w:sz w:val="24"/>
              </w:rPr>
            </w:pPr>
            <w:r>
              <w:rPr>
                <w:rFonts w:hint="eastAsia" w:ascii="宋体" w:hAnsi="宋体" w:cs="宋体"/>
                <w:sz w:val="24"/>
              </w:rPr>
              <w:t>四、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10120" w:type="dxa"/>
            <w:gridSpan w:val="12"/>
            <w:shd w:val="clear" w:color="auto" w:fill="95B3D6"/>
            <w:vAlign w:val="center"/>
          </w:tcPr>
          <w:p>
            <w:pPr>
              <w:pStyle w:val="13"/>
              <w:spacing w:before="133"/>
              <w:ind w:left="2496" w:right="2490"/>
              <w:jc w:val="center"/>
              <w:rPr>
                <w:b/>
                <w:sz w:val="28"/>
              </w:rPr>
            </w:pPr>
            <w:r>
              <w:rPr>
                <w:b/>
                <w:sz w:val="28"/>
              </w:rPr>
              <w:t>产品的费用有哪些？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vAlign w:val="center"/>
          </w:tcPr>
          <w:p>
            <w:pPr>
              <w:pStyle w:val="13"/>
              <w:spacing w:before="88"/>
              <w:ind w:left="2511" w:right="2490"/>
              <w:jc w:val="center"/>
              <w:rPr>
                <w:b/>
                <w:sz w:val="24"/>
              </w:rPr>
            </w:pPr>
            <w:r>
              <w:rPr>
                <w:b/>
                <w:sz w:val="24"/>
              </w:rPr>
              <w:t>我直接支付的费用有哪些？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5"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1.本产品不收取认购费与赎回费。</w:t>
            </w:r>
          </w:p>
          <w:p>
            <w:pPr>
              <w:spacing w:line="400" w:lineRule="exact"/>
              <w:ind w:firstLine="480" w:firstLineChars="200"/>
              <w:outlineLvl w:val="0"/>
              <w:rPr>
                <w:rFonts w:ascii="宋体" w:hAnsi="宋体" w:cs="宋体"/>
                <w:sz w:val="24"/>
              </w:rPr>
            </w:pPr>
            <w:r>
              <w:rPr>
                <w:rFonts w:hint="eastAsia" w:ascii="宋体" w:hAnsi="宋体" w:cs="宋体"/>
                <w:sz w:val="24"/>
              </w:rPr>
              <w:t>2.其他（如有）：投后管理费、交易费用（包括但不限于交易佣金、撮合费用等）、理财产品验资费、审计费、律师费、信息披露费、清算费、执行费用等相关费用，具体以实际发生为准。理财产品费用按本产品说明书及投资管理人与费用收取方之间的协议约定从理财产品资产中支付。投资管理人或理财产品参与方以国有财产先行垫付的，有权从理财产品资产中优先受偿。</w:t>
            </w:r>
          </w:p>
          <w:p>
            <w:pPr>
              <w:pStyle w:val="2"/>
              <w:rPr>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2" w:hRule="atLeast"/>
        </w:trPr>
        <w:tc>
          <w:tcPr>
            <w:tcW w:w="10120" w:type="dxa"/>
            <w:gridSpan w:val="12"/>
            <w:shd w:val="clear" w:color="auto" w:fill="DBE6F0"/>
          </w:tcPr>
          <w:p>
            <w:pPr>
              <w:pStyle w:val="13"/>
              <w:spacing w:before="88"/>
              <w:ind w:left="2520" w:right="2490"/>
              <w:jc w:val="center"/>
              <w:rPr>
                <w:b/>
                <w:sz w:val="24"/>
              </w:rPr>
            </w:pPr>
            <w:r>
              <w:rPr>
                <w:b/>
                <w:sz w:val="24"/>
              </w:rPr>
              <w:t>我间接支付的（即由产品承担的）费用有哪些？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06" w:hRule="atLeast"/>
        </w:trPr>
        <w:tc>
          <w:tcPr>
            <w:tcW w:w="10120" w:type="dxa"/>
            <w:gridSpan w:val="12"/>
            <w:shd w:val="clear" w:color="auto" w:fill="auto"/>
          </w:tcPr>
          <w:p>
            <w:pPr>
              <w:spacing w:line="400" w:lineRule="exact"/>
              <w:ind w:firstLine="480" w:firstLineChars="200"/>
              <w:outlineLvl w:val="0"/>
              <w:rPr>
                <w:rFonts w:ascii="宋体" w:hAnsi="宋体" w:cs="宋体"/>
                <w:sz w:val="24"/>
              </w:rPr>
            </w:pPr>
            <w:r>
              <w:rPr>
                <w:rFonts w:hint="eastAsia" w:ascii="宋体" w:hAnsi="宋体" w:cs="宋体"/>
                <w:sz w:val="24"/>
              </w:rPr>
              <w:t>1.托管费：0.01%/年，托管人对本产品收取托管费，托管费每日计提，到期收取。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计算方法：每日计提的托管费=产品本金*费率/365</w:t>
            </w:r>
          </w:p>
          <w:p>
            <w:pPr>
              <w:spacing w:line="400" w:lineRule="exact"/>
              <w:ind w:firstLine="480" w:firstLineChars="200"/>
              <w:outlineLvl w:val="0"/>
              <w:rPr>
                <w:rFonts w:ascii="宋体" w:hAnsi="宋体" w:cs="宋体"/>
                <w:sz w:val="24"/>
              </w:rPr>
            </w:pPr>
            <w:r>
              <w:rPr>
                <w:rFonts w:hint="eastAsia" w:cs="宋体"/>
                <w:sz w:val="24"/>
              </w:rPr>
              <w:t>2</w:t>
            </w:r>
            <w:r>
              <w:rPr>
                <w:rFonts w:hint="eastAsia" w:ascii="宋体" w:hAnsi="宋体" w:cs="宋体"/>
                <w:sz w:val="24"/>
              </w:rPr>
              <w:t>.固定投资管理费：0.</w:t>
            </w:r>
            <w:r>
              <w:rPr>
                <w:rFonts w:hint="eastAsia" w:ascii="宋体" w:hAnsi="宋体" w:cs="宋体"/>
                <w:sz w:val="24"/>
                <w:lang w:val="en-US" w:eastAsia="zh-CN"/>
              </w:rPr>
              <w:t>35</w:t>
            </w:r>
            <w:r>
              <w:rPr>
                <w:rFonts w:hint="eastAsia" w:ascii="宋体" w:hAnsi="宋体" w:cs="宋体"/>
                <w:sz w:val="24"/>
              </w:rPr>
              <w:t>%/年，管理人收取固定投资管理费，每日计提，到期收取。</w:t>
            </w:r>
          </w:p>
          <w:p>
            <w:pPr>
              <w:spacing w:line="400" w:lineRule="exact"/>
              <w:ind w:firstLine="480" w:firstLineChars="200"/>
              <w:outlineLvl w:val="0"/>
              <w:rPr>
                <w:rFonts w:ascii="宋体" w:hAnsi="宋体" w:cs="宋体"/>
                <w:sz w:val="24"/>
              </w:rPr>
            </w:pPr>
            <w:r>
              <w:rPr>
                <w:rFonts w:hint="eastAsia" w:ascii="宋体" w:hAnsi="宋体" w:cs="宋体"/>
                <w:sz w:val="24"/>
              </w:rPr>
              <w:t>每日计提的固定投资管理费=产品本金*费率/365</w:t>
            </w:r>
          </w:p>
          <w:p>
            <w:pPr>
              <w:spacing w:line="400" w:lineRule="exact"/>
              <w:ind w:firstLine="480" w:firstLineChars="200"/>
              <w:outlineLvl w:val="0"/>
              <w:rPr>
                <w:rFonts w:ascii="宋体" w:hAnsi="宋体" w:cs="宋体"/>
                <w:sz w:val="24"/>
              </w:rPr>
            </w:pPr>
            <w:r>
              <w:rPr>
                <w:rFonts w:hint="eastAsia" w:cs="宋体"/>
                <w:sz w:val="24"/>
              </w:rPr>
              <w:t>3</w:t>
            </w:r>
            <w:r>
              <w:rPr>
                <w:rFonts w:hint="eastAsia" w:ascii="宋体" w:hAnsi="宋体" w:cs="宋体"/>
                <w:sz w:val="24"/>
              </w:rPr>
              <w:t>.浮动投资管理费：产品年化收益率超出业绩比较基准部分的</w:t>
            </w:r>
            <w:r>
              <w:rPr>
                <w:rFonts w:hint="eastAsia" w:cs="宋体"/>
                <w:sz w:val="24"/>
                <w:lang w:val="en-US" w:eastAsia="zh-CN"/>
              </w:rPr>
              <w:t>9</w:t>
            </w:r>
            <w:r>
              <w:rPr>
                <w:rFonts w:hint="eastAsia" w:cs="宋体"/>
                <w:sz w:val="24"/>
              </w:rPr>
              <w:t>0</w:t>
            </w:r>
            <w:r>
              <w:rPr>
                <w:rFonts w:hint="eastAsia" w:ascii="宋体" w:hAnsi="宋体" w:cs="宋体"/>
                <w:sz w:val="24"/>
              </w:rPr>
              <w:t>%为浮动投资管理费。</w:t>
            </w:r>
          </w:p>
          <w:p>
            <w:pPr>
              <w:spacing w:line="400" w:lineRule="exact"/>
              <w:ind w:firstLine="480" w:firstLineChars="200"/>
              <w:outlineLvl w:val="0"/>
              <w:rPr>
                <w:rFonts w:ascii="宋体" w:hAnsi="宋体" w:cs="宋体"/>
                <w:sz w:val="24"/>
              </w:rPr>
            </w:pPr>
            <w:r>
              <w:rPr>
                <w:rFonts w:hint="eastAsia" w:ascii="宋体" w:hAnsi="宋体" w:cs="宋体"/>
                <w:sz w:val="24"/>
              </w:rPr>
              <w:t>浮动管理费到期一次性计提，到期一次性收取。</w:t>
            </w:r>
          </w:p>
          <w:p>
            <w:pPr>
              <w:spacing w:line="400" w:lineRule="exact"/>
              <w:ind w:firstLine="480" w:firstLineChars="200"/>
              <w:outlineLvl w:val="0"/>
              <w:rPr>
                <w:rFonts w:ascii="宋体" w:hAnsi="宋体" w:cs="宋体"/>
                <w:sz w:val="24"/>
              </w:rPr>
            </w:pPr>
            <w:r>
              <w:rPr>
                <w:rFonts w:hint="eastAsia" w:ascii="宋体" w:hAnsi="宋体" w:cs="宋体"/>
                <w:sz w:val="24"/>
              </w:rPr>
              <w:t>期末费前年化收益率R=（期末费前累计净值-1）/产品期限*365*100。若R&lt;业绩比较基准，则无浮动管理费；若R&gt;业绩比较基准，则管理人收取的浮动管理费为（R-业绩比较基准）*</w:t>
            </w:r>
            <w:r>
              <w:rPr>
                <w:rFonts w:hint="eastAsia" w:cs="宋体"/>
                <w:sz w:val="24"/>
                <w:lang w:val="en-US" w:eastAsia="zh-CN"/>
              </w:rPr>
              <w:t>9</w:t>
            </w:r>
            <w:r>
              <w:rPr>
                <w:rFonts w:hint="eastAsia" w:cs="宋体"/>
                <w:sz w:val="24"/>
              </w:rPr>
              <w:t>0</w:t>
            </w:r>
            <w:r>
              <w:rPr>
                <w:rFonts w:hint="eastAsia" w:ascii="宋体" w:hAnsi="宋体" w:cs="宋体"/>
                <w:sz w:val="24"/>
              </w:rPr>
              <w:t>%*存续份额*1*产品期限/365。</w:t>
            </w:r>
          </w:p>
          <w:p>
            <w:pPr>
              <w:spacing w:line="400" w:lineRule="exact"/>
              <w:ind w:firstLine="420" w:firstLineChars="200"/>
              <w:outlineLvl w:val="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95B3D6"/>
          </w:tcPr>
          <w:p>
            <w:pPr>
              <w:pStyle w:val="13"/>
              <w:spacing w:before="132"/>
              <w:ind w:left="2498" w:right="2490"/>
              <w:jc w:val="center"/>
              <w:rPr>
                <w:b/>
                <w:sz w:val="28"/>
              </w:rPr>
            </w:pPr>
            <w:r>
              <w:rPr>
                <w:b/>
                <w:sz w:val="28"/>
              </w:rPr>
              <w:t>我应该如何参与和退出?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80" w:hRule="atLeast"/>
        </w:trPr>
        <w:tc>
          <w:tcPr>
            <w:tcW w:w="10120" w:type="dxa"/>
            <w:gridSpan w:val="12"/>
            <w:shd w:val="clear" w:color="auto" w:fill="auto"/>
          </w:tcPr>
          <w:p>
            <w:pPr>
              <w:spacing w:line="400" w:lineRule="exact"/>
              <w:ind w:firstLine="480" w:firstLineChars="200"/>
              <w:outlineLvl w:val="0"/>
              <w:rPr>
                <w:rFonts w:cs="宋体"/>
                <w:sz w:val="24"/>
              </w:rPr>
            </w:pPr>
            <w:r>
              <w:rPr>
                <w:rFonts w:hint="eastAsia" w:cs="宋体"/>
                <w:sz w:val="24"/>
              </w:rPr>
              <w:t>一、客户无权提前终止该产品。</w:t>
            </w:r>
          </w:p>
          <w:p>
            <w:pPr>
              <w:spacing w:line="400" w:lineRule="exact"/>
              <w:ind w:firstLine="480" w:firstLineChars="200"/>
              <w:outlineLvl w:val="0"/>
              <w:rPr>
                <w:rFonts w:cs="宋体"/>
                <w:sz w:val="24"/>
              </w:rPr>
            </w:pPr>
            <w:r>
              <w:rPr>
                <w:rFonts w:hint="eastAsia" w:cs="宋体"/>
                <w:sz w:val="24"/>
              </w:rPr>
              <w:t>二、本理财产品到期如因理财产品所投资的标的资产因信用风险、市场风险等原因造成理财产品不能按时还本付息，理财期限将相应延长。</w:t>
            </w:r>
          </w:p>
          <w:p>
            <w:pPr>
              <w:spacing w:line="400" w:lineRule="exact"/>
              <w:ind w:firstLine="480" w:firstLineChars="200"/>
              <w:outlineLvl w:val="0"/>
              <w:rPr>
                <w:rFonts w:cs="宋体"/>
                <w:sz w:val="24"/>
              </w:rPr>
            </w:pPr>
            <w:r>
              <w:rPr>
                <w:rFonts w:hint="eastAsia" w:cs="宋体"/>
                <w:sz w:val="24"/>
              </w:rPr>
              <w:t>三、本理财产品成立后，如出现但不限于如下情形，承德银行有权但无义务在理财产品预计到期日之前终止该理财产品，且理财产品本金及收益将以理财产品所投资产提前到期时实际出让或处分情况来计算: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80" w:firstLineChars="200"/>
              <w:outlineLvl w:val="0"/>
              <w:rPr>
                <w:rFonts w:cs="宋体"/>
                <w:sz w:val="24"/>
              </w:rPr>
            </w:pPr>
            <w:r>
              <w:rPr>
                <w:rFonts w:hint="eastAsia" w:cs="宋体"/>
                <w:sz w:val="24"/>
              </w:rPr>
              <w:t>1</w:t>
            </w:r>
            <w:r>
              <w:rPr>
                <w:rFonts w:hint="eastAsia" w:ascii="宋体" w:hAnsi="宋体" w:cs="宋体"/>
                <w:sz w:val="24"/>
              </w:rPr>
              <w:t>.</w:t>
            </w:r>
            <w:r>
              <w:rPr>
                <w:rFonts w:hint="eastAsia" w:cs="宋体"/>
                <w:sz w:val="24"/>
              </w:rPr>
              <w:t>如遇国家金融政策出现重大调整或宏观经济形势发生重大变化并影响到本理财产品的正常运作时，承德银行有权在理财产品预计到期日之前终止本理财产品。</w:t>
            </w:r>
          </w:p>
          <w:p>
            <w:pPr>
              <w:spacing w:line="400" w:lineRule="exact"/>
              <w:ind w:firstLine="480" w:firstLineChars="200"/>
              <w:outlineLvl w:val="0"/>
              <w:rPr>
                <w:rFonts w:cs="宋体"/>
                <w:sz w:val="24"/>
              </w:rPr>
            </w:pPr>
            <w:r>
              <w:rPr>
                <w:rFonts w:hint="eastAsia" w:cs="宋体"/>
                <w:sz w:val="24"/>
              </w:rPr>
              <w:t>2</w:t>
            </w:r>
            <w:r>
              <w:rPr>
                <w:rFonts w:hint="eastAsia" w:ascii="宋体" w:hAnsi="宋体" w:cs="宋体"/>
                <w:sz w:val="24"/>
              </w:rPr>
              <w:t>.</w:t>
            </w:r>
            <w:r>
              <w:rPr>
                <w:rFonts w:hint="eastAsia" w:cs="宋体"/>
                <w:sz w:val="24"/>
              </w:rPr>
              <w:t>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80" w:firstLineChars="200"/>
              <w:outlineLvl w:val="0"/>
              <w:rPr>
                <w:rFonts w:cs="宋体"/>
                <w:sz w:val="24"/>
              </w:rPr>
            </w:pPr>
            <w:r>
              <w:rPr>
                <w:rFonts w:hint="eastAsia" w:cs="宋体"/>
                <w:sz w:val="24"/>
              </w:rPr>
              <w:t>3</w:t>
            </w:r>
            <w:r>
              <w:rPr>
                <w:rFonts w:hint="eastAsia" w:ascii="宋体" w:hAnsi="宋体" w:cs="宋体"/>
                <w:sz w:val="24"/>
              </w:rPr>
              <w:t>.</w:t>
            </w:r>
            <w:r>
              <w:rPr>
                <w:rFonts w:hint="eastAsia" w:cs="宋体"/>
                <w:sz w:val="24"/>
              </w:rPr>
              <w:t>承德银行有合理理由认为将影响本理财产品正常运作的其他情形。</w:t>
            </w:r>
          </w:p>
          <w:p>
            <w:pPr>
              <w:spacing w:line="400" w:lineRule="exact"/>
              <w:ind w:firstLine="480" w:firstLineChars="200"/>
              <w:outlineLvl w:val="0"/>
              <w:rPr>
                <w:rFonts w:cs="宋体"/>
                <w:sz w:val="24"/>
              </w:rPr>
            </w:pPr>
            <w:r>
              <w:rPr>
                <w:rFonts w:hint="eastAsia" w:cs="宋体"/>
                <w:sz w:val="24"/>
              </w:rPr>
              <w:t>四、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80" w:firstLineChars="200"/>
              <w:outlineLvl w:val="0"/>
            </w:pPr>
            <w:r>
              <w:rPr>
                <w:rFonts w:hint="eastAsia" w:cs="宋体"/>
                <w:sz w:val="24"/>
              </w:rPr>
              <w:t>投资者应得资金=投资者持有理财产品份额×理财产品提前到期日份额净值</w:t>
            </w:r>
          </w:p>
          <w:p>
            <w:pPr>
              <w:spacing w:line="400" w:lineRule="exact"/>
              <w:ind w:firstLine="480" w:firstLineChars="200"/>
              <w:outlineLvl w:val="0"/>
            </w:pPr>
            <w:r>
              <w:rPr>
                <w:rFonts w:hint="eastAsia" w:cs="宋体"/>
                <w:sz w:val="24"/>
              </w:rPr>
              <w:t>五、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53" w:hRule="atLeast"/>
        </w:trPr>
        <w:tc>
          <w:tcPr>
            <w:tcW w:w="10120" w:type="dxa"/>
            <w:gridSpan w:val="12"/>
            <w:shd w:val="clear" w:color="auto" w:fill="95B3D6"/>
          </w:tcPr>
          <w:p>
            <w:pPr>
              <w:pStyle w:val="13"/>
              <w:spacing w:before="133"/>
              <w:ind w:left="2496" w:right="2490"/>
              <w:jc w:val="center"/>
              <w:rPr>
                <w:b/>
                <w:sz w:val="28"/>
              </w:rPr>
            </w:pPr>
            <w:r>
              <w:rPr>
                <w:b/>
                <w:sz w:val="28"/>
              </w:rPr>
              <w:t>我应该如何维护自己的权益？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36"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为确保银行服务质量，保障您的投资权益，若承德银行在理财业务办理过程中存在任何问题，您可通过以下方式进行投诉：</w:t>
            </w:r>
          </w:p>
          <w:p>
            <w:pPr>
              <w:spacing w:line="400" w:lineRule="exact"/>
              <w:ind w:firstLine="480" w:firstLineChars="200"/>
              <w:outlineLvl w:val="0"/>
              <w:rPr>
                <w:rFonts w:cs="宋体"/>
                <w:sz w:val="24"/>
              </w:rPr>
            </w:pPr>
            <w:r>
              <w:rPr>
                <w:rFonts w:hint="eastAsia" w:cs="宋体"/>
                <w:sz w:val="24"/>
              </w:rPr>
              <w:t>（一）承德银行24小时客服电话0314-96368。</w:t>
            </w:r>
          </w:p>
          <w:p>
            <w:pPr>
              <w:spacing w:line="400" w:lineRule="exact"/>
              <w:ind w:firstLine="480" w:firstLineChars="200"/>
              <w:outlineLvl w:val="0"/>
              <w:rPr>
                <w:rFonts w:cs="宋体"/>
                <w:sz w:val="24"/>
              </w:rPr>
            </w:pPr>
            <w:r>
              <w:rPr>
                <w:rFonts w:hint="eastAsia" w:cs="宋体"/>
                <w:sz w:val="24"/>
              </w:rPr>
              <w:t>（二）承德银行各营业网点意见簿。</w:t>
            </w:r>
          </w:p>
          <w:p>
            <w:pPr>
              <w:spacing w:line="400" w:lineRule="exact"/>
              <w:ind w:firstLine="480" w:firstLineChars="200"/>
              <w:outlineLvl w:val="0"/>
              <w:rPr>
                <w:rFonts w:cs="宋体"/>
                <w:sz w:val="24"/>
              </w:rPr>
            </w:pPr>
            <w:r>
              <w:rPr>
                <w:rFonts w:hint="eastAsia" w:cs="宋体"/>
                <w:sz w:val="24"/>
              </w:rPr>
              <w:t>（三）承德银行官网</w:t>
            </w:r>
          </w:p>
          <w:p>
            <w:pPr>
              <w:spacing w:line="400" w:lineRule="exact"/>
              <w:ind w:firstLine="480" w:firstLineChars="200"/>
              <w:outlineLvl w:val="0"/>
            </w:pPr>
            <w:r>
              <w:rPr>
                <w:rFonts w:hint="eastAsia" w:cs="宋体"/>
                <w:sz w:val="24"/>
              </w:rPr>
              <w:t>在接到您的投诉后，承德银行将于受理当日回复处理意见，无法立即回复的将于三个工作日内做出回复，并跟踪反馈处理结果。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63" w:hRule="atLeast"/>
        </w:trPr>
        <w:tc>
          <w:tcPr>
            <w:tcW w:w="10120" w:type="dxa"/>
            <w:gridSpan w:val="12"/>
            <w:shd w:val="clear" w:color="auto" w:fill="95B3D6"/>
            <w:vAlign w:val="center"/>
          </w:tcPr>
          <w:p>
            <w:pPr>
              <w:pStyle w:val="13"/>
              <w:spacing w:before="132"/>
              <w:ind w:left="2501" w:right="2490"/>
              <w:jc w:val="center"/>
              <w:rPr>
                <w:b/>
                <w:sz w:val="28"/>
              </w:rPr>
            </w:pPr>
            <w:r>
              <w:rPr>
                <w:b/>
                <w:sz w:val="28"/>
              </w:rPr>
              <w:t>我应该如何了解产品运作情况？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投资者可在本产品销售机构、发行机构营业网点，本产品销售机构、承德银行官网（www.chengdebank.com）、中国理财网(www.chinawealth.com.cn)等渠道发布理财产品相关信息。投资者应定期通过上述渠道获知有关本理财产品相关信息。以上相关信息自公告之日即视为己送达投资者。</w:t>
            </w:r>
          </w:p>
          <w:p>
            <w:pPr>
              <w:spacing w:line="400" w:lineRule="exact"/>
              <w:ind w:firstLine="480" w:firstLineChars="200"/>
              <w:outlineLvl w:val="0"/>
              <w:rPr>
                <w:rFonts w:cs="宋体"/>
                <w:sz w:val="24"/>
              </w:rPr>
            </w:pPr>
            <w:r>
              <w:rPr>
                <w:rFonts w:hint="eastAsia" w:cs="宋体"/>
                <w:sz w:val="24"/>
              </w:rPr>
              <w:t>二、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w:t>
            </w:r>
          </w:p>
          <w:p>
            <w:pPr>
              <w:spacing w:line="400" w:lineRule="exact"/>
              <w:ind w:firstLine="480" w:firstLineChars="200"/>
              <w:outlineLvl w:val="0"/>
              <w:rPr>
                <w:rFonts w:cs="宋体"/>
                <w:sz w:val="24"/>
              </w:rPr>
            </w:pPr>
            <w:r>
              <w:rPr>
                <w:rFonts w:hint="eastAsia" w:cs="宋体"/>
                <w:sz w:val="24"/>
              </w:rPr>
              <w:t>三、信息披露的内容和时间</w:t>
            </w:r>
          </w:p>
          <w:p>
            <w:pPr>
              <w:spacing w:line="400" w:lineRule="exact"/>
              <w:ind w:firstLine="480" w:firstLineChars="200"/>
              <w:outlineLvl w:val="0"/>
              <w:rPr>
                <w:rFonts w:cs="宋体"/>
                <w:sz w:val="24"/>
              </w:rPr>
            </w:pPr>
            <w:r>
              <w:rPr>
                <w:rFonts w:hint="eastAsia" w:cs="宋体"/>
                <w:sz w:val="24"/>
              </w:rPr>
              <w:t>(1)理财产品发行公告</w:t>
            </w:r>
          </w:p>
          <w:p>
            <w:pPr>
              <w:spacing w:line="400" w:lineRule="exact"/>
              <w:ind w:firstLine="480" w:firstLineChars="200"/>
              <w:outlineLvl w:val="0"/>
              <w:rPr>
                <w:rFonts w:cs="宋体"/>
                <w:sz w:val="24"/>
              </w:rPr>
            </w:pPr>
            <w:r>
              <w:rPr>
                <w:rFonts w:hint="eastAsia" w:cs="宋体"/>
                <w:sz w:val="24"/>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80" w:firstLineChars="200"/>
              <w:outlineLvl w:val="0"/>
              <w:rPr>
                <w:rFonts w:cs="宋体"/>
                <w:sz w:val="24"/>
              </w:rPr>
            </w:pPr>
            <w:r>
              <w:rPr>
                <w:rFonts w:hint="eastAsia" w:cs="宋体"/>
                <w:sz w:val="24"/>
              </w:rPr>
              <w:t>(2)理财产品定期报告</w:t>
            </w:r>
          </w:p>
          <w:p>
            <w:pPr>
              <w:spacing w:line="400" w:lineRule="exact"/>
              <w:ind w:firstLine="480" w:firstLineChars="200"/>
              <w:outlineLvl w:val="0"/>
              <w:rPr>
                <w:rFonts w:cs="宋体"/>
                <w:sz w:val="24"/>
              </w:rPr>
            </w:pPr>
            <w:r>
              <w:rPr>
                <w:rFonts w:hint="eastAsia" w:cs="宋体"/>
                <w:sz w:val="24"/>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w:t>
            </w:r>
          </w:p>
          <w:p>
            <w:pPr>
              <w:spacing w:line="400" w:lineRule="exact"/>
              <w:ind w:firstLine="480" w:firstLineChars="200"/>
              <w:outlineLvl w:val="0"/>
              <w:rPr>
                <w:rFonts w:cs="宋体"/>
                <w:sz w:val="24"/>
              </w:rPr>
            </w:pPr>
            <w:r>
              <w:rPr>
                <w:rFonts w:hint="eastAsia" w:cs="宋体"/>
                <w:sz w:val="24"/>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投资者本金和收益(如有)将在赎回日后10个工作日内划转至投资者账户。逾期未赎回的视为同意。</w:t>
            </w:r>
          </w:p>
          <w:p>
            <w:pPr>
              <w:spacing w:line="400" w:lineRule="exact"/>
              <w:ind w:firstLine="480" w:firstLineChars="200"/>
              <w:outlineLvl w:val="0"/>
              <w:rPr>
                <w:rFonts w:cs="宋体"/>
                <w:sz w:val="24"/>
              </w:rPr>
            </w:pPr>
            <w:r>
              <w:rPr>
                <w:rFonts w:hint="eastAsia" w:cs="宋体"/>
                <w:sz w:val="24"/>
              </w:rPr>
              <w:t>(3)理财产品临时性信息披露</w:t>
            </w:r>
          </w:p>
          <w:p>
            <w:pPr>
              <w:spacing w:line="400" w:lineRule="exact"/>
              <w:ind w:firstLine="480" w:firstLineChars="200"/>
              <w:outlineLvl w:val="0"/>
              <w:rPr>
                <w:rFonts w:cs="宋体"/>
                <w:sz w:val="24"/>
              </w:rPr>
            </w:pPr>
            <w:r>
              <w:rPr>
                <w:rFonts w:hint="eastAsia" w:cs="宋体"/>
                <w:sz w:val="24"/>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发生理财产品管理人、托管人变更的情形的，承德银行将提前10个工作日以临时公告形式向投资者进行信息披露。</w:t>
            </w:r>
          </w:p>
          <w:p>
            <w:pPr>
              <w:spacing w:line="400" w:lineRule="exact"/>
              <w:ind w:firstLine="480" w:firstLineChars="200"/>
              <w:outlineLvl w:val="0"/>
              <w:rPr>
                <w:rFonts w:cs="宋体"/>
                <w:sz w:val="24"/>
              </w:rPr>
            </w:pPr>
            <w:r>
              <w:rPr>
                <w:rFonts w:hint="eastAsia" w:cs="宋体"/>
                <w:sz w:val="24"/>
              </w:rPr>
              <w:t>(4)理财产品重大事项公告</w:t>
            </w:r>
          </w:p>
          <w:p>
            <w:pPr>
              <w:spacing w:line="400" w:lineRule="exact"/>
              <w:ind w:firstLine="480" w:firstLineChars="200"/>
              <w:outlineLvl w:val="0"/>
              <w:rPr>
                <w:rFonts w:cs="宋体"/>
                <w:sz w:val="24"/>
              </w:rPr>
            </w:pPr>
            <w:r>
              <w:rPr>
                <w:rFonts w:hint="eastAsia" w:cs="宋体"/>
                <w:sz w:val="24"/>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80" w:firstLineChars="200"/>
              <w:outlineLvl w:val="0"/>
              <w:rPr>
                <w:rFonts w:cs="宋体"/>
                <w:sz w:val="24"/>
              </w:rPr>
            </w:pPr>
            <w:r>
              <w:rPr>
                <w:rFonts w:hint="eastAsia" w:cs="宋体"/>
                <w:sz w:val="24"/>
              </w:rPr>
              <w:t>(5)理财产品到期公告</w:t>
            </w:r>
          </w:p>
          <w:p>
            <w:pPr>
              <w:spacing w:line="400" w:lineRule="exact"/>
              <w:ind w:firstLine="480" w:firstLineChars="200"/>
              <w:outlineLvl w:val="0"/>
              <w:rPr>
                <w:rFonts w:cs="宋体"/>
                <w:sz w:val="24"/>
              </w:rPr>
            </w:pPr>
            <w:r>
              <w:rPr>
                <w:rFonts w:hint="eastAsia" w:cs="宋体"/>
                <w:sz w:val="24"/>
              </w:rPr>
              <w:t>承德银行将在理财产品预计到期日后的5个工作日内，通过官网发布到期公告。如果承德银行决定在理财产品预计到期日之前终止本理财产品，承德银行将于提前到期日前2个工作日发布到期公告。</w:t>
            </w:r>
          </w:p>
          <w:p>
            <w:pPr>
              <w:spacing w:line="400" w:lineRule="exact"/>
              <w:ind w:firstLine="480" w:firstLineChars="200"/>
              <w:outlineLvl w:val="0"/>
              <w:rPr>
                <w:rFonts w:cs="宋体"/>
                <w:sz w:val="24"/>
              </w:rPr>
            </w:pPr>
            <w:r>
              <w:rPr>
                <w:rFonts w:hint="eastAsia" w:cs="宋体"/>
                <w:sz w:val="24"/>
              </w:rPr>
              <w:t>(6)如果承德银行决定延长理财期限，承德银行将于原到期日前2个工作日，通过官网发布相关信息公告。</w:t>
            </w:r>
          </w:p>
          <w:p>
            <w:pPr>
              <w:spacing w:line="400" w:lineRule="exact"/>
              <w:ind w:firstLine="480" w:firstLineChars="200"/>
              <w:outlineLvl w:val="0"/>
              <w:rPr>
                <w:rFonts w:cs="宋体"/>
                <w:sz w:val="24"/>
              </w:rPr>
            </w:pPr>
            <w:r>
              <w:rPr>
                <w:rFonts w:hint="eastAsia" w:cs="宋体"/>
                <w:sz w:val="24"/>
              </w:rPr>
              <w:t>(7)产品存续期间，投资者应定期登陆官网获取与本理财产品相关的信息。</w:t>
            </w:r>
          </w:p>
          <w:p>
            <w:pPr>
              <w:spacing w:line="400" w:lineRule="exact"/>
              <w:ind w:firstLine="480" w:firstLineChars="200"/>
              <w:outlineLvl w:val="0"/>
              <w:rPr>
                <w:rFonts w:cs="宋体"/>
                <w:sz w:val="24"/>
              </w:rPr>
            </w:pPr>
            <w:r>
              <w:rPr>
                <w:rFonts w:hint="eastAsia" w:cs="宋体"/>
                <w:sz w:val="24"/>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发布相关信息公告通知投资者。修订后的产品说明书对投资者具有法律约束力。</w:t>
            </w:r>
          </w:p>
          <w:p>
            <w:pPr>
              <w:spacing w:line="400" w:lineRule="exact"/>
              <w:ind w:firstLine="480" w:firstLineChars="200"/>
              <w:outlineLvl w:val="0"/>
              <w:rPr>
                <w:rFonts w:cs="宋体"/>
                <w:sz w:val="24"/>
              </w:rPr>
            </w:pPr>
            <w:r>
              <w:rPr>
                <w:rFonts w:hint="eastAsia" w:cs="宋体"/>
                <w:sz w:val="24"/>
              </w:rPr>
              <w:t>（9）我行承诺，我行将按业界成熟的安全标准，采取相应的安全保护措施来保护个人信息。如因我行原因造成信息泄露等风险，我行将承担相应责任。</w:t>
            </w:r>
          </w:p>
          <w:p>
            <w:pPr>
              <w:pStyle w:val="2"/>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04" w:hRule="atLeast"/>
        </w:trPr>
        <w:tc>
          <w:tcPr>
            <w:tcW w:w="10120" w:type="dxa"/>
            <w:gridSpan w:val="12"/>
            <w:shd w:val="clear" w:color="auto" w:fill="95B3D6"/>
          </w:tcPr>
          <w:p>
            <w:pPr>
              <w:pStyle w:val="13"/>
              <w:spacing w:before="132"/>
              <w:ind w:left="2499" w:right="2490"/>
              <w:jc w:val="center"/>
              <w:rPr>
                <w:b/>
                <w:sz w:val="28"/>
              </w:rPr>
            </w:pPr>
            <w:r>
              <w:rPr>
                <w:b/>
                <w:sz w:val="28"/>
              </w:rPr>
              <w:t>发行机构免责声明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390" w:hRule="atLeast"/>
        </w:trPr>
        <w:tc>
          <w:tcPr>
            <w:tcW w:w="10120" w:type="dxa"/>
            <w:gridSpan w:val="12"/>
            <w:shd w:val="clear" w:color="auto" w:fill="auto"/>
            <w:vAlign w:val="center"/>
          </w:tcPr>
          <w:p>
            <w:pPr>
              <w:spacing w:line="400" w:lineRule="exact"/>
              <w:ind w:firstLine="480" w:firstLineChars="200"/>
              <w:outlineLvl w:val="0"/>
              <w:rPr>
                <w:rFonts w:cs="宋体"/>
                <w:sz w:val="24"/>
              </w:rPr>
            </w:pPr>
            <w:r>
              <w:rPr>
                <w:rFonts w:hint="eastAsia" w:cs="宋体"/>
                <w:sz w:val="24"/>
              </w:rPr>
              <w:t>（一）由于国家有关法律、法规、规章、政策的改变、紧急措施的出台而导致投资者蒙受损失或协议终止的，发行机构不承担责任。</w:t>
            </w:r>
          </w:p>
          <w:p>
            <w:pPr>
              <w:spacing w:line="400" w:lineRule="exact"/>
              <w:ind w:firstLine="480" w:firstLineChars="200"/>
              <w:outlineLvl w:val="0"/>
              <w:rPr>
                <w:rFonts w:cs="宋体"/>
                <w:sz w:val="24"/>
              </w:rPr>
            </w:pPr>
            <w:r>
              <w:rPr>
                <w:rFonts w:hint="eastAsia" w:cs="宋体"/>
                <w:sz w:val="24"/>
              </w:rPr>
              <w:t>（二）由于不可抗力或发行机构无过错且无法防止的外因而导致的交易中断、延误等风险及损失，发行机构不承担责任，但应在条件允许的情况下采取必要的补救措施，以减少损失。</w:t>
            </w:r>
          </w:p>
          <w:p>
            <w:pPr>
              <w:spacing w:line="400" w:lineRule="exact"/>
              <w:ind w:firstLine="480" w:firstLineChars="200"/>
              <w:outlineLvl w:val="0"/>
              <w:rPr>
                <w:sz w:val="24"/>
              </w:rPr>
            </w:pPr>
            <w:r>
              <w:rPr>
                <w:rFonts w:hint="eastAsia" w:cs="宋体"/>
                <w:sz w:val="24"/>
              </w:rPr>
              <w:t>（三）非因发行机构原因（包括但不限于投资方遗失协议、投资方协议被盗用、协议交易账户被司法机关等有权部门冻结、扣划等原因）造成的损失，发行机构不承担责任。</w:t>
            </w:r>
          </w:p>
        </w:tc>
      </w:tr>
    </w:tbl>
    <w:p>
      <w:pPr>
        <w:rPr>
          <w:sz w:val="24"/>
        </w:rPr>
        <w:sectPr>
          <w:pgSz w:w="11910" w:h="16840"/>
          <w:pgMar w:top="1134" w:right="640" w:bottom="1134" w:left="880" w:header="1449" w:footer="1135" w:gutter="0"/>
          <w:cols w:equalWidth="0" w:num="1">
            <w:col w:w="10390"/>
          </w:cols>
        </w:sectPr>
      </w:pPr>
    </w:p>
    <w:p>
      <w:pPr>
        <w:spacing w:line="560" w:lineRule="atLeast"/>
        <w:rPr>
          <w:rFonts w:ascii="仿宋_GB2312" w:hAnsi="宋体" w:eastAsia="仿宋_GB2312" w:cs="仿宋_GB2312"/>
          <w:sz w:val="32"/>
          <w:szCs w:val="32"/>
        </w:rPr>
      </w:pPr>
    </w:p>
    <w:sectPr>
      <w:footerReference r:id="rId7"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w:pict>
        <v:shape id="文本框 8" o:spid="_x0000_s4098" o:spt="202" type="#_x0000_t202" style="position:absolute;left:0pt;margin-left:516.7pt;margin-top:773.8pt;height:12.45pt;width:15.1pt;mso-position-horizontal-relative:page;mso-position-vertical-relative:page;z-index:-251656192;mso-width-relative:page;mso-height-relative:page;" filled="f" stroked="f" coordsize="21600,21600" o:gfxdata="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VNNI9sAAAAPAQAADwAAAAAA&#10;AAABACAAAAAiAAAAZHJzL2Rvd25yZXYueG1sUEsBAhQAFAAAAAgAh07iQN/5oxyeAQAAIwMAAA4A&#10;AAAAAAAAAQAgAAAAKgEAAGRycy9lMm9Eb2MueG1sUEsFBgAAAAAGAAYAWQEAADoFAAAAAA==&#10;">
          <v:path/>
          <v:fill on="f" focussize="0,0"/>
          <v:stroke on="f" joinstyle="miter"/>
          <v:imagedata o:title=""/>
          <o:lock v:ext="edit"/>
          <v:textbox inset="0mm,0mm,0mm,0mm">
            <w:txbxContent>
              <w:p>
                <w:pPr>
                  <w:spacing w:line="225" w:lineRule="exact"/>
                  <w:ind w:left="6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4100" o:spt="202" type="#_x0000_t202" style="position:absolute;left:0pt;margin-left:67.9pt;margin-top:774.1pt;height:12pt;width:15.1pt;mso-position-horizontal-relative:page;mso-position-vertical-relative:page;z-index:-251654144;mso-width-relative:page;mso-height-relative:page;" filled="f" stroked="f" coordsize="21600,21600" o:gfxdata="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0PFe2gAAAA0BAAAPAAAAAAAA&#10;AAEAIAAAACIAAABkcnMvZG93bnJldi54bWxQSwECFAAUAAAACACHTuJAKfjvsp4BAAAjAwAADgAA&#10;AAAAAAABACAAAAApAQAAZHJzL2Uyb0RvYy54bWxQSwUGAAAAAAYABgBZAQAAOQUAAAAA&#10;">
          <v:path/>
          <v:fill on="f" focussize="0,0"/>
          <v:stroke on="f" joinstyle="miter"/>
          <v:imagedata o:title=""/>
          <o:lock v:ext="edit"/>
          <v:textbox inset="0mm,0mm,0mm,0mm">
            <w:txbxContent>
              <w:p>
                <w:pPr>
                  <w:spacing w:before="12"/>
                  <w:ind w:left="6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101050"/>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6" o:spid="_x0000_s4097" o:spt="202" type="#_x0000_t202" style="position:absolute;left:0pt;margin-left:448.35pt;margin-top:71.4pt;height:12.45pt;width:91.25pt;mso-position-horizontal-relative:page;mso-position-vertical-relative:page;z-index:-251657216;mso-width-relative:page;mso-height-relative:page;" filled="f" stroked="f" coordsize="21600,21600" o:gfxdata="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SLUVtoAAAAMAQAADwAAAAAAAAAB&#10;ACAAAAAiAAAAZHJzL2Rvd25yZXYueG1sUEsBAhQAFAAAAAgAh07iQDcFPsecAQAAJAMAAA4AAAAA&#10;AAAAAQAgAAAAKQEAAGRycy9lMm9Eb2MueG1sUEsFBgAAAAAGAAYAWQEAADcFA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7" o:spid="_x0000_s4099" o:spt="202" type="#_x0000_t202" style="position:absolute;left:0pt;margin-left:69.9pt;margin-top:71.4pt;height:12.45pt;width:91.25pt;mso-position-horizontal-relative:page;mso-position-vertical-relative:page;z-index:-251655168;mso-width-relative:page;mso-height-relative:page;" filled="f" stroked="f" coordsize="21600,21600" o:gfxdata="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ScG32QAAAAsBAAAPAAAAAAAAAAEA&#10;IAAAACIAAABkcnMvZG93bnJldi54bWxQSwECFAAUAAAACACHTuJABtBFCZwBAAAkAwAADgAAAAAA&#10;AAABACAAAAAoAQAAZHJzL2Uyb0RvYy54bWxQSwUGAAAAAAYABgBZAQAANgUAAAAA&#10;">
          <v:path/>
          <v:fill on="f" focussize="0,0"/>
          <v:stroke on="f" joinstyle="miter"/>
          <v:imagedata o:title=""/>
          <o:lock v:ext="edit"/>
          <v:textbox inset="0mm,0mm,0mm,0mm">
            <w:txbxContent>
              <w:p>
                <w:pPr>
                  <w:pStyle w:val="2"/>
                  <w:spacing w:line="249" w:lineRule="exact"/>
                  <w:rPr>
                    <w:rFonts w:ascii="黑体" w:hAnsi="黑体"/>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5337D1"/>
    <w:rsid w:val="00011B83"/>
    <w:rsid w:val="00013641"/>
    <w:rsid w:val="000151D1"/>
    <w:rsid w:val="000178C3"/>
    <w:rsid w:val="00020DD8"/>
    <w:rsid w:val="000326F6"/>
    <w:rsid w:val="00055CCB"/>
    <w:rsid w:val="00064D1B"/>
    <w:rsid w:val="000742CE"/>
    <w:rsid w:val="00086A64"/>
    <w:rsid w:val="00087F04"/>
    <w:rsid w:val="000A37B5"/>
    <w:rsid w:val="000A5D0F"/>
    <w:rsid w:val="000D5D02"/>
    <w:rsid w:val="00123E0F"/>
    <w:rsid w:val="00160EE1"/>
    <w:rsid w:val="00162A8A"/>
    <w:rsid w:val="001676EB"/>
    <w:rsid w:val="0017139A"/>
    <w:rsid w:val="00193937"/>
    <w:rsid w:val="001A4BB1"/>
    <w:rsid w:val="001B1FF9"/>
    <w:rsid w:val="001C6646"/>
    <w:rsid w:val="001E7BEA"/>
    <w:rsid w:val="00202394"/>
    <w:rsid w:val="002454E2"/>
    <w:rsid w:val="002662E0"/>
    <w:rsid w:val="002715D2"/>
    <w:rsid w:val="0028677A"/>
    <w:rsid w:val="002A78DC"/>
    <w:rsid w:val="002D1141"/>
    <w:rsid w:val="002D14B4"/>
    <w:rsid w:val="002D40FA"/>
    <w:rsid w:val="002D7130"/>
    <w:rsid w:val="002F461E"/>
    <w:rsid w:val="00320F77"/>
    <w:rsid w:val="003246A1"/>
    <w:rsid w:val="00355903"/>
    <w:rsid w:val="00366C1F"/>
    <w:rsid w:val="00385BDB"/>
    <w:rsid w:val="003A70B8"/>
    <w:rsid w:val="003D00F3"/>
    <w:rsid w:val="003D6B45"/>
    <w:rsid w:val="003F338F"/>
    <w:rsid w:val="004721BA"/>
    <w:rsid w:val="00475E4B"/>
    <w:rsid w:val="004903E4"/>
    <w:rsid w:val="00495776"/>
    <w:rsid w:val="004B7C94"/>
    <w:rsid w:val="004D0C89"/>
    <w:rsid w:val="004E0CFE"/>
    <w:rsid w:val="004E13D2"/>
    <w:rsid w:val="004F66CC"/>
    <w:rsid w:val="00500EFC"/>
    <w:rsid w:val="005116B7"/>
    <w:rsid w:val="0052054E"/>
    <w:rsid w:val="0052198D"/>
    <w:rsid w:val="0052236E"/>
    <w:rsid w:val="005337D1"/>
    <w:rsid w:val="005345C4"/>
    <w:rsid w:val="00541511"/>
    <w:rsid w:val="00542F5E"/>
    <w:rsid w:val="00560BEE"/>
    <w:rsid w:val="005778F4"/>
    <w:rsid w:val="00593995"/>
    <w:rsid w:val="00596EA0"/>
    <w:rsid w:val="005A6B02"/>
    <w:rsid w:val="005B65EB"/>
    <w:rsid w:val="005D2A22"/>
    <w:rsid w:val="005D7CDE"/>
    <w:rsid w:val="00625D2F"/>
    <w:rsid w:val="006360A2"/>
    <w:rsid w:val="006A40F2"/>
    <w:rsid w:val="006A6D72"/>
    <w:rsid w:val="006B5D93"/>
    <w:rsid w:val="006C3D0C"/>
    <w:rsid w:val="006C5A5D"/>
    <w:rsid w:val="006D5E6E"/>
    <w:rsid w:val="006E7175"/>
    <w:rsid w:val="006F1AFE"/>
    <w:rsid w:val="00720DE9"/>
    <w:rsid w:val="007448D1"/>
    <w:rsid w:val="00752D47"/>
    <w:rsid w:val="00753085"/>
    <w:rsid w:val="007563DE"/>
    <w:rsid w:val="00771574"/>
    <w:rsid w:val="0077432C"/>
    <w:rsid w:val="007749C7"/>
    <w:rsid w:val="00787F7C"/>
    <w:rsid w:val="007D0760"/>
    <w:rsid w:val="007E7344"/>
    <w:rsid w:val="007F10B9"/>
    <w:rsid w:val="008454CD"/>
    <w:rsid w:val="0087042C"/>
    <w:rsid w:val="00874D37"/>
    <w:rsid w:val="0089517A"/>
    <w:rsid w:val="008D1523"/>
    <w:rsid w:val="008F6A13"/>
    <w:rsid w:val="0091352E"/>
    <w:rsid w:val="009369C5"/>
    <w:rsid w:val="00952019"/>
    <w:rsid w:val="00987069"/>
    <w:rsid w:val="00992C23"/>
    <w:rsid w:val="009A3B6E"/>
    <w:rsid w:val="009B0211"/>
    <w:rsid w:val="009B1C55"/>
    <w:rsid w:val="009F310A"/>
    <w:rsid w:val="00A030CF"/>
    <w:rsid w:val="00A167F4"/>
    <w:rsid w:val="00A17C45"/>
    <w:rsid w:val="00A20D15"/>
    <w:rsid w:val="00A231A1"/>
    <w:rsid w:val="00A26065"/>
    <w:rsid w:val="00A32CBE"/>
    <w:rsid w:val="00A62937"/>
    <w:rsid w:val="00A81513"/>
    <w:rsid w:val="00A874AB"/>
    <w:rsid w:val="00AB3DC0"/>
    <w:rsid w:val="00AD1ADD"/>
    <w:rsid w:val="00AE5493"/>
    <w:rsid w:val="00AE6CC6"/>
    <w:rsid w:val="00AF4AA7"/>
    <w:rsid w:val="00B11D4D"/>
    <w:rsid w:val="00B11E2D"/>
    <w:rsid w:val="00B24749"/>
    <w:rsid w:val="00B362AB"/>
    <w:rsid w:val="00B44E2C"/>
    <w:rsid w:val="00B775A4"/>
    <w:rsid w:val="00BB602B"/>
    <w:rsid w:val="00BC1A9C"/>
    <w:rsid w:val="00BE7646"/>
    <w:rsid w:val="00C1401A"/>
    <w:rsid w:val="00C3500E"/>
    <w:rsid w:val="00C46C50"/>
    <w:rsid w:val="00C65898"/>
    <w:rsid w:val="00C700AE"/>
    <w:rsid w:val="00C774A2"/>
    <w:rsid w:val="00C87ED2"/>
    <w:rsid w:val="00C936EB"/>
    <w:rsid w:val="00CF1CDF"/>
    <w:rsid w:val="00D11823"/>
    <w:rsid w:val="00D16A94"/>
    <w:rsid w:val="00D171A9"/>
    <w:rsid w:val="00D22CB0"/>
    <w:rsid w:val="00D24E9E"/>
    <w:rsid w:val="00D27762"/>
    <w:rsid w:val="00D31359"/>
    <w:rsid w:val="00D348D5"/>
    <w:rsid w:val="00D37410"/>
    <w:rsid w:val="00D53681"/>
    <w:rsid w:val="00D61F35"/>
    <w:rsid w:val="00D84442"/>
    <w:rsid w:val="00DA6374"/>
    <w:rsid w:val="00DD0466"/>
    <w:rsid w:val="00DE3B96"/>
    <w:rsid w:val="00E2003D"/>
    <w:rsid w:val="00E2420C"/>
    <w:rsid w:val="00E31BC8"/>
    <w:rsid w:val="00E328A0"/>
    <w:rsid w:val="00E32C08"/>
    <w:rsid w:val="00E930BA"/>
    <w:rsid w:val="00EA5B22"/>
    <w:rsid w:val="00EC091B"/>
    <w:rsid w:val="00EE36D6"/>
    <w:rsid w:val="00F32B31"/>
    <w:rsid w:val="00F357B3"/>
    <w:rsid w:val="00F418A8"/>
    <w:rsid w:val="00F41BD7"/>
    <w:rsid w:val="00F51AB9"/>
    <w:rsid w:val="00F83163"/>
    <w:rsid w:val="00F85C8D"/>
    <w:rsid w:val="00FB3C01"/>
    <w:rsid w:val="00FC11C7"/>
    <w:rsid w:val="01150DC0"/>
    <w:rsid w:val="020D5596"/>
    <w:rsid w:val="026475A2"/>
    <w:rsid w:val="029B75F3"/>
    <w:rsid w:val="03520B8B"/>
    <w:rsid w:val="03AF0B26"/>
    <w:rsid w:val="045927B3"/>
    <w:rsid w:val="04843BF1"/>
    <w:rsid w:val="05E77F03"/>
    <w:rsid w:val="07BF6B40"/>
    <w:rsid w:val="088B2B99"/>
    <w:rsid w:val="089E0D57"/>
    <w:rsid w:val="08F03963"/>
    <w:rsid w:val="09435C93"/>
    <w:rsid w:val="095A707C"/>
    <w:rsid w:val="09833DFE"/>
    <w:rsid w:val="09897769"/>
    <w:rsid w:val="0A684D9B"/>
    <w:rsid w:val="0A8713E6"/>
    <w:rsid w:val="0A8C75C7"/>
    <w:rsid w:val="0ACD2AAF"/>
    <w:rsid w:val="0BB85E37"/>
    <w:rsid w:val="0C901AAC"/>
    <w:rsid w:val="0D5861DC"/>
    <w:rsid w:val="0E0369FE"/>
    <w:rsid w:val="0E4B0E8C"/>
    <w:rsid w:val="10374DB8"/>
    <w:rsid w:val="10665F94"/>
    <w:rsid w:val="10892117"/>
    <w:rsid w:val="10E6477A"/>
    <w:rsid w:val="11EE66F4"/>
    <w:rsid w:val="13F80833"/>
    <w:rsid w:val="14450C30"/>
    <w:rsid w:val="153A0CF1"/>
    <w:rsid w:val="15BE7614"/>
    <w:rsid w:val="160E5D69"/>
    <w:rsid w:val="16266DD3"/>
    <w:rsid w:val="16BC2A74"/>
    <w:rsid w:val="17461283"/>
    <w:rsid w:val="176127F9"/>
    <w:rsid w:val="17846DC2"/>
    <w:rsid w:val="178E511D"/>
    <w:rsid w:val="17903235"/>
    <w:rsid w:val="17B71A7F"/>
    <w:rsid w:val="17EC65AB"/>
    <w:rsid w:val="180D6605"/>
    <w:rsid w:val="182070A3"/>
    <w:rsid w:val="18926A8D"/>
    <w:rsid w:val="19142D19"/>
    <w:rsid w:val="1A071C03"/>
    <w:rsid w:val="1A4C6088"/>
    <w:rsid w:val="1A514BD8"/>
    <w:rsid w:val="1B2E65CC"/>
    <w:rsid w:val="1B4B58D1"/>
    <w:rsid w:val="1B6B4263"/>
    <w:rsid w:val="1BAB5CEA"/>
    <w:rsid w:val="1C4C7305"/>
    <w:rsid w:val="1C7B31D7"/>
    <w:rsid w:val="1D59623A"/>
    <w:rsid w:val="1E5944AB"/>
    <w:rsid w:val="1E5B0030"/>
    <w:rsid w:val="1EB84D68"/>
    <w:rsid w:val="1F213BBF"/>
    <w:rsid w:val="1F337C7A"/>
    <w:rsid w:val="1F4B6B46"/>
    <w:rsid w:val="1FA6205C"/>
    <w:rsid w:val="201B3D98"/>
    <w:rsid w:val="20CD4039"/>
    <w:rsid w:val="21507E9C"/>
    <w:rsid w:val="21DA2B55"/>
    <w:rsid w:val="21FA005C"/>
    <w:rsid w:val="22165714"/>
    <w:rsid w:val="22D718DC"/>
    <w:rsid w:val="232008B4"/>
    <w:rsid w:val="23495FB3"/>
    <w:rsid w:val="25756F2A"/>
    <w:rsid w:val="257F6547"/>
    <w:rsid w:val="25BB6132"/>
    <w:rsid w:val="25DE3A6E"/>
    <w:rsid w:val="25E12603"/>
    <w:rsid w:val="262B0E5B"/>
    <w:rsid w:val="269B7DCF"/>
    <w:rsid w:val="26AC00EB"/>
    <w:rsid w:val="26BA519D"/>
    <w:rsid w:val="274046C4"/>
    <w:rsid w:val="27997188"/>
    <w:rsid w:val="279A2BCB"/>
    <w:rsid w:val="27D61267"/>
    <w:rsid w:val="27E1527A"/>
    <w:rsid w:val="2812031E"/>
    <w:rsid w:val="282E6F0A"/>
    <w:rsid w:val="284F4720"/>
    <w:rsid w:val="286B7813"/>
    <w:rsid w:val="2A215C10"/>
    <w:rsid w:val="2A235744"/>
    <w:rsid w:val="2A7E05DF"/>
    <w:rsid w:val="2B6A21BC"/>
    <w:rsid w:val="2C66616F"/>
    <w:rsid w:val="2C6A3033"/>
    <w:rsid w:val="2C6E4549"/>
    <w:rsid w:val="2CEE436E"/>
    <w:rsid w:val="2CFC3CFC"/>
    <w:rsid w:val="2D296B03"/>
    <w:rsid w:val="2D4505BE"/>
    <w:rsid w:val="2EEB79B2"/>
    <w:rsid w:val="302811FF"/>
    <w:rsid w:val="30EE6873"/>
    <w:rsid w:val="30F85F28"/>
    <w:rsid w:val="31606765"/>
    <w:rsid w:val="31BC1885"/>
    <w:rsid w:val="32897B37"/>
    <w:rsid w:val="32C66FA9"/>
    <w:rsid w:val="334C3B7B"/>
    <w:rsid w:val="34093B12"/>
    <w:rsid w:val="342C5ED3"/>
    <w:rsid w:val="34877187"/>
    <w:rsid w:val="34CD3F20"/>
    <w:rsid w:val="34CD5BF7"/>
    <w:rsid w:val="35692997"/>
    <w:rsid w:val="36D463DD"/>
    <w:rsid w:val="36D81B94"/>
    <w:rsid w:val="372446E3"/>
    <w:rsid w:val="372A664E"/>
    <w:rsid w:val="37D80211"/>
    <w:rsid w:val="38C54E94"/>
    <w:rsid w:val="39893B9E"/>
    <w:rsid w:val="39CA1E67"/>
    <w:rsid w:val="3A322445"/>
    <w:rsid w:val="3A68160D"/>
    <w:rsid w:val="3B3B27D1"/>
    <w:rsid w:val="3B4741FE"/>
    <w:rsid w:val="3BE36453"/>
    <w:rsid w:val="3C487DC4"/>
    <w:rsid w:val="3C680DD8"/>
    <w:rsid w:val="3CD82A9F"/>
    <w:rsid w:val="3D71794F"/>
    <w:rsid w:val="3DDA7C4C"/>
    <w:rsid w:val="3E7E24C8"/>
    <w:rsid w:val="3F9C4E70"/>
    <w:rsid w:val="40027284"/>
    <w:rsid w:val="40922D7E"/>
    <w:rsid w:val="4209094A"/>
    <w:rsid w:val="42454A4B"/>
    <w:rsid w:val="42C359D0"/>
    <w:rsid w:val="43C31AB5"/>
    <w:rsid w:val="44802D6F"/>
    <w:rsid w:val="44994D35"/>
    <w:rsid w:val="44BD3E0F"/>
    <w:rsid w:val="44D428BF"/>
    <w:rsid w:val="45701DE3"/>
    <w:rsid w:val="46104F20"/>
    <w:rsid w:val="465944C6"/>
    <w:rsid w:val="4668237A"/>
    <w:rsid w:val="46951A70"/>
    <w:rsid w:val="46B73F28"/>
    <w:rsid w:val="47356266"/>
    <w:rsid w:val="47397BFB"/>
    <w:rsid w:val="478E7576"/>
    <w:rsid w:val="492B61B2"/>
    <w:rsid w:val="4A0D6BB6"/>
    <w:rsid w:val="4A660208"/>
    <w:rsid w:val="4A795084"/>
    <w:rsid w:val="4AB36590"/>
    <w:rsid w:val="4B8D2E57"/>
    <w:rsid w:val="4B9705E4"/>
    <w:rsid w:val="4B9948AA"/>
    <w:rsid w:val="4BD501FC"/>
    <w:rsid w:val="4C1061BE"/>
    <w:rsid w:val="4C322A47"/>
    <w:rsid w:val="4C555761"/>
    <w:rsid w:val="4C8D7C5A"/>
    <w:rsid w:val="4E082939"/>
    <w:rsid w:val="4ED84B41"/>
    <w:rsid w:val="4F5508D6"/>
    <w:rsid w:val="4FEC265F"/>
    <w:rsid w:val="501D4040"/>
    <w:rsid w:val="5124250B"/>
    <w:rsid w:val="51BD5DC0"/>
    <w:rsid w:val="521A5639"/>
    <w:rsid w:val="52784815"/>
    <w:rsid w:val="52C23E0E"/>
    <w:rsid w:val="537B67E3"/>
    <w:rsid w:val="55025572"/>
    <w:rsid w:val="554D7345"/>
    <w:rsid w:val="567023B3"/>
    <w:rsid w:val="56787B6D"/>
    <w:rsid w:val="5753000C"/>
    <w:rsid w:val="57BD0296"/>
    <w:rsid w:val="58A65D98"/>
    <w:rsid w:val="59483A70"/>
    <w:rsid w:val="59D42DE5"/>
    <w:rsid w:val="5AA51D11"/>
    <w:rsid w:val="5B0D1B50"/>
    <w:rsid w:val="5B0F52CF"/>
    <w:rsid w:val="5B913895"/>
    <w:rsid w:val="5BA5483D"/>
    <w:rsid w:val="5BDF7DAD"/>
    <w:rsid w:val="5CCF0877"/>
    <w:rsid w:val="5CD03E21"/>
    <w:rsid w:val="5DBE589F"/>
    <w:rsid w:val="5E1513D6"/>
    <w:rsid w:val="5E25152F"/>
    <w:rsid w:val="5E602A22"/>
    <w:rsid w:val="5EE036F2"/>
    <w:rsid w:val="5FA021BC"/>
    <w:rsid w:val="607F1437"/>
    <w:rsid w:val="613C251C"/>
    <w:rsid w:val="62FB143A"/>
    <w:rsid w:val="630A6AD0"/>
    <w:rsid w:val="63B75808"/>
    <w:rsid w:val="63E41471"/>
    <w:rsid w:val="645C219C"/>
    <w:rsid w:val="65375AC8"/>
    <w:rsid w:val="653B1629"/>
    <w:rsid w:val="65A551F2"/>
    <w:rsid w:val="67C849CC"/>
    <w:rsid w:val="687C273B"/>
    <w:rsid w:val="6899719D"/>
    <w:rsid w:val="68CE6310"/>
    <w:rsid w:val="6A2C6F69"/>
    <w:rsid w:val="6A335687"/>
    <w:rsid w:val="6A8E6E66"/>
    <w:rsid w:val="6C10575D"/>
    <w:rsid w:val="6C9D332D"/>
    <w:rsid w:val="6CD51A2E"/>
    <w:rsid w:val="6DF00491"/>
    <w:rsid w:val="6E2052CE"/>
    <w:rsid w:val="6E700142"/>
    <w:rsid w:val="6EAF3985"/>
    <w:rsid w:val="6F0B1AE7"/>
    <w:rsid w:val="706668CD"/>
    <w:rsid w:val="716C4D6E"/>
    <w:rsid w:val="71D018B5"/>
    <w:rsid w:val="7230775B"/>
    <w:rsid w:val="72BA5CF0"/>
    <w:rsid w:val="730D2552"/>
    <w:rsid w:val="73902E72"/>
    <w:rsid w:val="73B5631C"/>
    <w:rsid w:val="74E40AE7"/>
    <w:rsid w:val="74FD7E4A"/>
    <w:rsid w:val="754C246A"/>
    <w:rsid w:val="75BF777F"/>
    <w:rsid w:val="76D704F9"/>
    <w:rsid w:val="774F6A89"/>
    <w:rsid w:val="77B96B9D"/>
    <w:rsid w:val="7840342D"/>
    <w:rsid w:val="789745E2"/>
    <w:rsid w:val="79C04842"/>
    <w:rsid w:val="7A173D35"/>
    <w:rsid w:val="7A314A15"/>
    <w:rsid w:val="7A711364"/>
    <w:rsid w:val="7AA37993"/>
    <w:rsid w:val="7B404CB7"/>
    <w:rsid w:val="7B9E33B2"/>
    <w:rsid w:val="7BA86DEF"/>
    <w:rsid w:val="7BF91FCB"/>
    <w:rsid w:val="7C411D1E"/>
    <w:rsid w:val="7D3F7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cs="宋体"/>
      <w:szCs w:val="21"/>
      <w:lang w:val="ca-ES" w:eastAsia="en-US"/>
    </w:rPr>
  </w:style>
  <w:style w:type="paragraph" w:styleId="3">
    <w:name w:val="Plain Text"/>
    <w:basedOn w:val="1"/>
    <w:link w:val="9"/>
    <w:qFormat/>
    <w:uiPriority w:val="0"/>
    <w:rPr>
      <w:rFonts w:ascii="宋体" w:hAnsi="Courier New"/>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paragraph" w:customStyle="1" w:styleId="13">
    <w:name w:val="Table Paragraph"/>
    <w:basedOn w:val="1"/>
    <w:qFormat/>
    <w:uiPriority w:val="1"/>
    <w:rPr>
      <w:rFonts w:ascii="宋体" w:hAnsi="宋体" w:cs="宋体"/>
      <w:lang w:val="ca-ES" w:eastAsia="en-US"/>
    </w:rPr>
  </w:style>
  <w:style w:type="paragraph" w:styleId="14">
    <w:name w:val="List Paragraph"/>
    <w:basedOn w:val="1"/>
    <w:qFormat/>
    <w:uiPriority w:val="1"/>
    <w:pPr>
      <w:ind w:left="1378" w:hanging="630"/>
    </w:pPr>
    <w:rPr>
      <w:rFonts w:ascii="宋体" w:hAnsi="宋体" w:cs="宋体"/>
      <w:lang w:val="ca-E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@2016版</Company>
  <Pages>7</Pages>
  <Words>5250</Words>
  <Characters>5445</Characters>
  <Lines>40</Lines>
  <Paragraphs>11</Paragraphs>
  <TotalTime>16</TotalTime>
  <ScaleCrop>false</ScaleCrop>
  <LinksUpToDate>false</LinksUpToDate>
  <CharactersWithSpaces>5457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2017-08-16T08:25:00Z</dcterms:created>
  <dc:creator>李云攀</dc:creator>
  <cp:lastModifiedBy>赵荆伟</cp:lastModifiedBy>
  <cp:lastPrinted>2017-07-13T01:27:00Z</cp:lastPrinted>
  <dcterms:modified xsi:type="dcterms:W3CDTF">2024-06-17T06:48:09Z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C282D436A9834B00853DE148929EF1A4</vt:lpwstr>
  </property>
</Properties>
</file>