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CellMar>
            <w:top w:w="0" w:type="dxa"/>
            <w:left w:w="10" w:type="dxa"/>
            <w:bottom w:w="0" w:type="dxa"/>
            <w:right w:w="10" w:type="dxa"/>
          </w:tblCellMar>
        </w:tblPrEx>
        <w:trPr>
          <w:trHeight w:val="0" w:hRule="atLeast"/>
        </w:trPr>
        <w:tc>
          <w:p>
            <w:pPr>
              <w:pStyle w:val="4"/>
            </w:pPr>
            <w:bookmarkStart w:id="0" w:name="JR_PAGE_ANCHOR_0_1"/>
            <w:bookmarkEnd w:id="0"/>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“承德银行承溢盈人民币理财产品第一百四十一期”</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2023年第三季度运作情况报告</w:t>
            </w: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一、产品情况介绍</w:t>
            </w:r>
          </w:p>
        </w:tc>
        <w:tc>
          <w:p>
            <w:pPr>
              <w:pStyle w:val="4"/>
            </w:pPr>
          </w:p>
        </w:tc>
        <w:tc>
          <w:p>
            <w:pPr>
              <w:pStyle w:val="4"/>
            </w:pPr>
          </w:p>
        </w:tc>
        <w:tc>
          <w:p>
            <w:pPr>
              <w:pStyle w:val="4"/>
            </w:pPr>
          </w:p>
        </w:tc>
      </w:tr>
      <w:tr>
        <w:tblPrEx>
          <w:tblCellMar>
            <w:top w:w="0" w:type="dxa"/>
            <w:left w:w="10" w:type="dxa"/>
            <w:bottom w:w="0" w:type="dxa"/>
            <w:right w:w="10" w:type="dxa"/>
          </w:tblCellMar>
        </w:tblPrEx>
        <w:trPr>
          <w:trHeight w:val="1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6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承德银行承溢盈人民币理财产品第一百四十一期（产品代码CYY0141）其关键要素如下：</w:t>
            </w:r>
          </w:p>
        </w:tc>
        <w:tc>
          <w:p>
            <w:pPr>
              <w:pStyle w:val="4"/>
            </w:pPr>
          </w:p>
        </w:tc>
        <w:tc>
          <w:p>
            <w:pPr>
              <w:pStyle w:val="4"/>
            </w:pPr>
          </w:p>
        </w:tc>
      </w:tr>
      <w:tr>
        <w:tblPrEx>
          <w:tblCellMar>
            <w:top w:w="0" w:type="dxa"/>
            <w:left w:w="10" w:type="dxa"/>
            <w:bottom w:w="0" w:type="dxa"/>
            <w:right w:w="10" w:type="dxa"/>
          </w:tblCellMar>
        </w:tblPrEx>
        <w:trPr>
          <w:trHeight w:val="1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C1089223000019</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2023年3月15日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2023年11月14日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244天</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3.55%</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p>
            <w:pPr>
              <w:pStyle w:val="4"/>
            </w:pPr>
          </w:p>
        </w:tc>
        <w:tc>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7"/>
            <w:tcMar>
              <w:top w:w="0" w:type="dxa"/>
              <w:left w:w="0" w:type="dxa"/>
              <w:bottom w:w="0" w:type="dxa"/>
              <w:right w:w="0" w:type="dxa"/>
            </w:tcMar>
            <w:vAlign w:val="top"/>
          </w:tcPr>
          <w:p>
            <w:r>
              <w:rPr>
                <w:rFonts w:ascii="宋体" w:hAnsi="宋体" w:eastAsia="宋体" w:cs="宋体"/>
                <w:color w:val="000000"/>
                <w:sz w:val="24"/>
              </w:rPr>
              <w:t>二、产品持仓状况</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380" w:hRule="exact"/>
        </w:trPr>
        <w:tc>
          <w:p>
            <w:pPr>
              <w:pStyle w:val="4"/>
            </w:pPr>
          </w:p>
        </w:tc>
        <w:tc>
          <w:p>
            <w:pPr>
              <w:pStyle w:val="4"/>
            </w:pPr>
          </w:p>
        </w:tc>
        <w:tc>
          <w:p>
            <w:pPr>
              <w:pStyle w:val="4"/>
            </w:pPr>
          </w:p>
        </w:tc>
        <w:tc>
          <w:tcPr>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截至2023年9月30日，本产品投资的持仓资产结构如下：</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400" w:hRule="exact"/>
        </w:trPr>
        <w:tc>
          <w:p>
            <w:pPr>
              <w:pStyle w:val="4"/>
            </w:pPr>
          </w:p>
        </w:tc>
        <w:tc>
          <w:p>
            <w:pPr>
              <w:pStyle w:val="4"/>
            </w:pPr>
          </w:p>
        </w:tc>
        <w:tc>
          <w:p>
            <w:pPr>
              <w:pStyle w:val="4"/>
            </w:pPr>
          </w:p>
        </w:tc>
        <w:tc>
          <w:p>
            <w:pPr>
              <w:pStyle w:val="4"/>
            </w:pPr>
          </w:p>
        </w:tc>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960"/>
              <w:gridCol w:w="2960"/>
              <w:gridCol w:w="2480"/>
            </w:tblGrid>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spacing w:before="0" w:after="0" w:line="240" w:lineRule="auto"/>
                          <w:jc w:val="center"/>
                        </w:pPr>
                        <w:r>
                          <w:rPr>
                            <w:rFonts w:ascii="宋体" w:hAnsi="宋体" w:eastAsia="宋体" w:cs="宋体"/>
                            <w:b/>
                            <w:sz w:val="24"/>
                          </w:rPr>
                          <w:t>资产类别</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top"/>
                </w:tcPr>
                <w:tbl>
                  <w:tblPr>
                    <w:tblStyle w:val="2"/>
                    <w:tblW w:w="0" w:type="auto"/>
                    <w:tblInd w:w="0" w:type="dxa"/>
                    <w:tblLayout w:type="fixed"/>
                    <w:tblCellMar>
                      <w:top w:w="0" w:type="dxa"/>
                      <w:left w:w="10" w:type="dxa"/>
                      <w:bottom w:w="0" w:type="dxa"/>
                      <w:right w:w="10" w:type="dxa"/>
                    </w:tblCellMar>
                  </w:tblPr>
                  <w:tblGrid>
                    <w:gridCol w:w="2940"/>
                    <w:gridCol w:w="2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b/>
                            <w:sz w:val="24"/>
                          </w:rPr>
                          <w:t xml:space="preserve">具体资产 </w:t>
                        </w:r>
                      </w:p>
                    </w:tc>
                    <w:tc>
                      <w:p>
                        <w:pPr>
                          <w:pStyle w:val="4"/>
                        </w:pP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现金及活期存款</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现金及活期存款</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0.93</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券商资产管理产品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99.07</w:t>
                        </w:r>
                      </w:p>
                    </w:tc>
                  </w:tr>
                </w:tbl>
                <w:p>
                  <w:pPr>
                    <w:pStyle w:val="4"/>
                  </w:pP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截至2023年9月30日，本产品持仓前十大资产市值合计</w:t>
            </w:r>
            <w:r>
              <w:rPr>
                <w:rFonts w:hint="eastAsia" w:ascii="宋体" w:hAnsi="宋体" w:eastAsia="宋体" w:cs="宋体"/>
                <w:color w:val="000000"/>
                <w:sz w:val="24"/>
                <w:lang w:val="en-US" w:eastAsia="zh-CN"/>
              </w:rPr>
              <w:t>259.43</w:t>
            </w:r>
            <w:r>
              <w:rPr>
                <w:rFonts w:ascii="宋体" w:hAnsi="宋体" w:eastAsia="宋体" w:cs="宋体"/>
                <w:color w:val="000000"/>
                <w:sz w:val="24"/>
              </w:rPr>
              <w:t>万元，占全部持仓资产规模合计</w:t>
            </w:r>
            <w:r>
              <w:rPr>
                <w:rFonts w:hint="eastAsia" w:ascii="宋体" w:hAnsi="宋体" w:eastAsia="宋体" w:cs="宋体"/>
                <w:color w:val="000000"/>
                <w:sz w:val="24"/>
                <w:lang w:val="en-US" w:eastAsia="zh-CN"/>
              </w:rPr>
              <w:t>69.02</w:t>
            </w:r>
            <w:r>
              <w:rPr>
                <w:rFonts w:ascii="宋体" w:hAnsi="宋体" w:eastAsia="宋体" w:cs="宋体"/>
                <w:color w:val="000000"/>
                <w:sz w:val="24"/>
              </w:rPr>
              <w:t>%。产品持仓前十大资产如下：</w:t>
            </w:r>
          </w:p>
        </w:tc>
        <w:tc>
          <w:p>
            <w:pPr>
              <w:pStyle w:val="4"/>
            </w:pPr>
          </w:p>
        </w:tc>
        <w:tc>
          <w:p>
            <w:pPr>
              <w:pStyle w:val="4"/>
            </w:pPr>
          </w:p>
        </w:tc>
      </w:tr>
      <w:tr>
        <w:tblPrEx>
          <w:tblCellMar>
            <w:top w:w="0" w:type="dxa"/>
            <w:left w:w="10" w:type="dxa"/>
            <w:bottom w:w="0" w:type="dxa"/>
            <w:right w:w="10" w:type="dxa"/>
          </w:tblCellMar>
        </w:tblPrEx>
        <w:trPr>
          <w:trHeight w:val="3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40" w:hRule="exact"/>
        </w:trPr>
        <w:tc>
          <w:p>
            <w:pPr>
              <w:pStyle w:val="4"/>
            </w:pPr>
          </w:p>
        </w:tc>
        <w:tc>
          <w:p>
            <w:pPr>
              <w:pStyle w:val="4"/>
            </w:pPr>
          </w:p>
        </w:tc>
        <w:tc>
          <w:p>
            <w:pPr>
              <w:pStyle w:val="4"/>
            </w:pPr>
          </w:p>
        </w:tc>
        <w:tc>
          <w:p>
            <w:pPr>
              <w:pStyle w:val="4"/>
            </w:pPr>
          </w:p>
        </w:tc>
        <w:tc>
          <w:p>
            <w:pPr>
              <w:pStyle w:val="4"/>
            </w:pPr>
          </w:p>
        </w:tc>
        <w:tc>
          <w:tcPr>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gridCol w:w="2600"/>
              <w:gridCol w:w="26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22湖州银行二级01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34.28</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9.12</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33.84</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9.00</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28.63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7.62</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25.2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6.70</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22威海商行二级资本债01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24.5</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6.52</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现金</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23.57</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6.27</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20华融湘江二级01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22.81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6.07</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22广州银行二级资本债01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22.69</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6.04</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20绍兴银行二级03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5.86</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22杭州联合农商二级01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21.9</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5.83</w:t>
                  </w: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60" w:hRule="exact"/>
        </w:trPr>
        <w:tc>
          <w:p>
            <w:pPr>
              <w:pStyle w:val="4"/>
            </w:pPr>
          </w:p>
        </w:tc>
        <w:tc>
          <w:p>
            <w:pPr>
              <w:pStyle w:val="4"/>
            </w:pPr>
          </w:p>
        </w:tc>
        <w:tc>
          <w:p>
            <w:pPr>
              <w:pStyle w:val="4"/>
            </w:pPr>
          </w:p>
        </w:tc>
        <w:tc>
          <w:p>
            <w:pPr>
              <w:pStyle w:val="4"/>
            </w:pPr>
          </w:p>
        </w:tc>
        <w:tc>
          <w:tcPr>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存续份额为3,694,000.00份，持有资产总规模为3,768,156.91元，产品资产净值为3,766,942.91元，单位净值为1.0197元，累计单位净值为1.0197元。本报告期内产品单位净值上涨0.0114元，自成立以来产品单位净值上涨0.0197元，成立至今实现年化收益率为</w:t>
            </w:r>
            <w:r>
              <w:rPr>
                <w:rFonts w:hint="eastAsia" w:ascii="宋体" w:hAnsi="宋体" w:cs="宋体"/>
                <w:color w:val="000000"/>
                <w:sz w:val="24"/>
                <w:lang w:val="en-US" w:eastAsia="zh-CN"/>
              </w:rPr>
              <w:t>3.5953</w:t>
            </w:r>
            <w:bookmarkStart w:id="1" w:name="_GoBack"/>
            <w:bookmarkEnd w:id="1"/>
            <w:r>
              <w:rPr>
                <w:rFonts w:ascii="宋体" w:hAnsi="宋体" w:eastAsia="宋体" w:cs="宋体"/>
                <w:color w:val="000000"/>
                <w:sz w:val="24"/>
              </w:rPr>
              <w:t>%。</w:t>
            </w:r>
          </w:p>
        </w:tc>
        <w:tc>
          <w:p>
            <w:pPr>
              <w:pStyle w:val="4"/>
            </w:pPr>
          </w:p>
        </w:tc>
      </w:tr>
      <w:tr>
        <w:tblPrEx>
          <w:tblCellMar>
            <w:top w:w="0" w:type="dxa"/>
            <w:left w:w="10" w:type="dxa"/>
            <w:bottom w:w="0" w:type="dxa"/>
            <w:right w:w="10" w:type="dxa"/>
          </w:tblCellMar>
        </w:tblPrEx>
        <w:trPr>
          <w:trHeight w:val="6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94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p>
            <w:pPr>
              <w:pStyle w:val="4"/>
            </w:pPr>
          </w:p>
        </w:tc>
        <w:tc>
          <w:p>
            <w:pPr>
              <w:pStyle w:val="4"/>
            </w:pPr>
          </w:p>
        </w:tc>
      </w:tr>
      <w:tr>
        <w:tblPrEx>
          <w:tblCellMar>
            <w:top w:w="0" w:type="dxa"/>
            <w:left w:w="10" w:type="dxa"/>
            <w:bottom w:w="0" w:type="dxa"/>
            <w:right w:w="10" w:type="dxa"/>
          </w:tblCellMar>
        </w:tblPrEx>
        <w:trPr>
          <w:trHeight w:val="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8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p>
            <w:pPr>
              <w:pStyle w:val="4"/>
            </w:pPr>
          </w:p>
        </w:tc>
        <w:tc>
          <w:p>
            <w:pPr>
              <w:pStyle w:val="4"/>
            </w:pPr>
          </w:p>
        </w:tc>
      </w:tr>
      <w:tr>
        <w:tblPrEx>
          <w:tblCellMar>
            <w:top w:w="0" w:type="dxa"/>
            <w:left w:w="10" w:type="dxa"/>
            <w:bottom w:w="0" w:type="dxa"/>
            <w:right w:w="10" w:type="dxa"/>
          </w:tblCellMar>
        </w:tblPrEx>
        <w:trPr>
          <w:trHeight w:val="3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8"/>
            <w:tcMar>
              <w:top w:w="0" w:type="dxa"/>
              <w:left w:w="0" w:type="dxa"/>
              <w:bottom w:w="0" w:type="dxa"/>
              <w:right w:w="0" w:type="dxa"/>
            </w:tcMar>
            <w:vAlign w:val="top"/>
          </w:tcPr>
          <w:p>
            <w:pPr>
              <w:jc w:val="right"/>
            </w:pPr>
            <w:r>
              <w:rPr>
                <w:rFonts w:ascii="宋体" w:hAnsi="宋体" w:eastAsia="宋体" w:cs="宋体"/>
                <w:color w:val="000000"/>
                <w:sz w:val="24"/>
              </w:rPr>
              <w:t>2023年10月14日</w:t>
            </w: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p>
            <w:pPr>
              <w:pStyle w:val="4"/>
            </w:pPr>
          </w:p>
        </w:tc>
        <w:tc>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88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p>
            <w:pPr>
              <w:pStyle w:val="4"/>
            </w:pPr>
          </w:p>
        </w:tc>
        <w:tc>
          <w:p>
            <w:pPr>
              <w:pStyle w:val="4"/>
            </w:pPr>
          </w:p>
        </w:tc>
        <w:tc>
          <w:p>
            <w:pPr>
              <w:pStyle w:val="4"/>
            </w:pPr>
          </w:p>
        </w:tc>
      </w:tr>
    </w:tbl>
    <w:p/>
    <w:sectPr>
      <w:pgSz w:w="11900" w:h="42060"/>
      <w:pgMar w:top="220" w:right="1400" w:bottom="1080" w:left="142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splitPgBreakAndParaMark/>
    <w:compatSetting w:name="compatibilityMode" w:uri="http://schemas.microsoft.com/office/word" w:val="12"/>
  </w:compat>
  <w:docVars>
    <w:docVar w:name="commondata" w:val="eyJoZGlkIjoiMzhjZGVlMTA0OTNhOGQ4N2RmMDJkYjkyN2Y0Y2I0MjQifQ=="/>
  </w:docVars>
  <w:rsids>
    <w:rsidRoot w:val="00000000"/>
    <w:rsid w:val="25EA30A6"/>
    <w:rsid w:val="665B6362"/>
    <w:rsid w:val="6DEE1A7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Office_12.1.0.15374_F1E327BC-269C-435d-A152-05C5408002CA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2023-10-14T16:41:00Z</dcterms:created>
  <dc:creator>HW</dc:creator>
  <cp:lastModifiedBy>HW</cp:lastModifiedBy>
  <dcterms:modified xsi:type="dcterms:W3CDTF">2023-10-19T13:31:43Z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35FAB200514B4FE29672B8B094D1F803_12</vt:lpwstr>
  </property>
</Properties>
</file>